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left"/>
        <w:spacing w:before="120" w:after="120" w:line="360" w:lineRule="auto"/>
        <w:rPr>
          <w:rFonts w:hint="eastAsia" w:ascii="Arial" w:hAnsi="Arial"/>
          <w:b/>
          <w:bCs/>
          <w:color w:val="auto"/>
          <w:sz w:val="30"/>
          <w:szCs w:val="30"/>
          <w:highlight w:val="none"/>
        </w:rPr>
      </w:pPr>
      <w:r/>
      <w:bookmarkStart w:id="0" w:name="_Toc120614210"/>
      <w:r/>
      <w:bookmarkStart w:id="1" w:name="_Toc513029200"/>
      <w:r/>
      <w:bookmarkStart w:id="2" w:name="_Toc16938516"/>
      <w:r/>
      <w:bookmarkStart w:id="3" w:name="_Toc479757206"/>
      <w:r/>
      <w:bookmarkStart w:id="4" w:name="_Toc20823272"/>
      <w:r/>
      <w:bookmarkStart w:id="5" w:name="_Toc523127445"/>
      <w:r/>
      <w:r/>
    </w:p>
    <w:p>
      <w:pPr>
        <w:jc w:val="center"/>
        <w:spacing w:before="120" w:after="120" w:line="360" w:lineRule="auto"/>
        <w:rPr>
          <w:rFonts w:hint="eastAsia" w:ascii="Arial" w:hAnsi="Arial" w:eastAsia="宋体" w:cs="Times New Roman"/>
          <w:b/>
          <w:bCs/>
          <w:color w:val="auto"/>
          <w:sz w:val="32"/>
          <w:szCs w:val="32"/>
          <w:highlight w:val="none"/>
          <w:lang w:eastAsia="zh-CN"/>
        </w:rPr>
      </w:pPr>
      <w:r>
        <w:rPr>
          <w:rFonts w:hint="eastAsia" w:ascii="Arial" w:hAnsi="Arial"/>
          <w:b/>
          <w:bCs/>
          <w:color w:val="auto"/>
          <w:sz w:val="32"/>
          <w:szCs w:val="32"/>
          <w:highlight w:val="none"/>
        </w:rPr>
        <w:t xml:space="preserve">项目名称：</w:t>
      </w:r>
      <w:r>
        <w:rPr>
          <w:rFonts w:hint="eastAsia" w:ascii="Arial" w:hAnsi="Arial"/>
          <w:b/>
          <w:bCs/>
          <w:color w:val="auto"/>
          <w:sz w:val="32"/>
          <w:szCs w:val="32"/>
          <w:highlight w:val="none"/>
          <w:lang w:eastAsia="zh-CN"/>
        </w:rPr>
        <w:t xml:space="preserve">通州区2026年东社镇一事一议财政奖补项目</w:t>
      </w:r>
      <w:r/>
    </w:p>
    <w:p>
      <w:pPr>
        <w:jc w:val="center"/>
        <w:rPr>
          <w:rFonts w:hint="eastAsia"/>
          <w:color w:val="auto"/>
          <w:highlight w:val="none"/>
        </w:rPr>
      </w:pPr>
      <w:r>
        <w:rPr>
          <w:rFonts w:hint="eastAsia" w:ascii="Arial" w:hAnsi="Arial"/>
          <w:b/>
          <w:bCs/>
          <w:color w:val="auto"/>
          <w:sz w:val="32"/>
          <w:szCs w:val="32"/>
          <w:highlight w:val="none"/>
        </w:rPr>
        <w:t xml:space="preserve">项目编号：JSZC-320612-NTJD-C2026-0013</w:t>
      </w:r>
      <w:r/>
    </w:p>
    <w:p>
      <w:pPr>
        <w:ind w:left="2100" w:hanging="3012"/>
        <w:tabs>
          <w:tab w:val="left" w:pos="6930" w:leader="none"/>
        </w:tabs>
        <w:rPr>
          <w:rFonts w:hint="eastAsia" w:ascii="Times New Roman" w:hAnsi="Times New Roman"/>
          <w:b/>
          <w:color w:val="auto"/>
          <w:sz w:val="30"/>
          <w:szCs w:val="30"/>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1626870</wp:posOffset>
                </wp:positionH>
                <wp:positionV relativeFrom="paragraph">
                  <wp:posOffset>190500</wp:posOffset>
                </wp:positionV>
                <wp:extent cx="2334260" cy="1789430"/>
                <wp:effectExtent l="0" t="0" r="0" b="0"/>
                <wp:wrapTopAndBottom/>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stroked="f">
                <v:path textboxrect="0,0,0,0"/>
                <w10:wrap type="topAndBottom"/>
                <v:imagedata r:id="rId21" o:title=""/>
              </v:shape>
            </w:pict>
          </mc:Fallback>
        </mc:AlternateContent>
      </w:r>
      <w:r/>
    </w:p>
    <w:p>
      <w:pPr>
        <w:ind w:left="2100" w:hanging="2100"/>
        <w:rPr>
          <w:rFonts w:hint="eastAsia" w:ascii="宋体" w:hAnsi="宋体" w:eastAsia="宋体" w:cs="宋体"/>
          <w:b/>
          <w:color w:val="auto"/>
          <w:spacing w:val="20"/>
          <w:sz w:val="44"/>
          <w:highlight w:val="none"/>
        </w:rPr>
      </w:pPr>
      <w:r>
        <w:rPr>
          <w:rFonts w:hint="eastAsia" w:ascii="宋体" w:hAnsi="宋体" w:eastAsia="宋体" w:cs="宋体"/>
          <w:b/>
          <w:color w:val="auto"/>
          <w:spacing w:val="20"/>
          <w:sz w:val="44"/>
          <w:highlight w:val="none"/>
        </w:rPr>
      </w:r>
      <w:r/>
    </w:p>
    <w:p>
      <w:pPr>
        <w:pStyle w:val="114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158" w:firstLine="321"/>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p>
    <w:p>
      <w:pPr>
        <w:jc w:val="center"/>
        <w:spacing w:line="360" w:lineRule="auto"/>
        <w:rPr>
          <w:rFonts w:hint="default" w:ascii="宋体" w:hAnsi="宋体" w:eastAsia="宋体" w:cs="宋体"/>
          <w:b/>
          <w:bCs/>
          <w:color w:val="auto"/>
          <w:sz w:val="30"/>
          <w:szCs w:val="30"/>
          <w:highlight w:val="none"/>
          <w:u w:val="none"/>
          <w:lang w:val="en-US"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单位</w:t>
      </w:r>
      <w:r>
        <w:rPr>
          <w:rFonts w:hint="eastAsia" w:ascii="宋体" w:hAnsi="宋体" w:cs="宋体"/>
          <w:b/>
          <w:bCs/>
          <w:color w:val="auto"/>
          <w:sz w:val="30"/>
          <w:szCs w:val="30"/>
          <w:highlight w:val="none"/>
          <w:u w:val="none"/>
          <w:lang w:val="en-US" w:eastAsia="zh-CN"/>
        </w:rPr>
        <w:t xml:space="preserve">：</w:t>
      </w:r>
      <w:r>
        <w:rPr>
          <w:rFonts w:hint="eastAsia" w:ascii="宋体" w:hAnsi="宋体" w:cs="宋体"/>
          <w:b/>
          <w:bCs/>
          <w:color w:val="auto"/>
          <w:spacing w:val="12"/>
          <w:sz w:val="30"/>
          <w:szCs w:val="30"/>
          <w:highlight w:val="none"/>
          <w:u w:val="none"/>
          <w:lang w:val="en-US" w:eastAsia="zh-CN"/>
        </w:rPr>
        <w:t xml:space="preserve">南通市通州区东社镇人民政府</w:t>
      </w:r>
      <w:r/>
    </w:p>
    <w:p>
      <w:pPr>
        <w:pStyle w:val="1221"/>
        <w:ind w:firstLine="0"/>
        <w:jc w:val="center"/>
        <w:spacing w:before="0" w:after="0"/>
        <w:rPr>
          <w:rFonts w:hint="eastAsia" w:ascii="宋体" w:hAnsi="宋体" w:eastAsia="宋体" w:cs="宋体"/>
          <w:b/>
          <w:bCs/>
          <w:color w:val="auto"/>
          <w:sz w:val="30"/>
          <w:szCs w:val="30"/>
          <w:highlight w:val="none"/>
          <w:u w:val="none"/>
          <w:lang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代理：</w:t>
      </w:r>
      <w:r>
        <w:rPr>
          <w:rFonts w:hint="eastAsia" w:ascii="宋体" w:hAnsi="宋体" w:cs="宋体"/>
          <w:b/>
          <w:bCs/>
          <w:color w:val="auto"/>
          <w:sz w:val="30"/>
          <w:szCs w:val="30"/>
          <w:highlight w:val="none"/>
          <w:u w:val="none"/>
          <w:lang w:eastAsia="zh-CN"/>
        </w:rPr>
        <w:t xml:space="preserve">南通俊达工程造价咨询有限公司</w:t>
      </w:r>
      <w:r/>
    </w:p>
    <w:p>
      <w:pPr>
        <w:jc w:val="center"/>
        <w:spacing w:line="360" w:lineRule="auto"/>
        <w:rPr>
          <w:rFonts w:hint="eastAsia" w:ascii="宋体" w:hAnsi="宋体" w:cs="宋体"/>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auto"/>
          <w:sz w:val="32"/>
          <w:highlight w:val="none"/>
        </w:rPr>
        <w:t xml:space="preserve">20</w:t>
      </w:r>
      <w:r>
        <w:rPr>
          <w:rFonts w:hint="eastAsia" w:ascii="宋体" w:hAnsi="宋体" w:cs="宋体"/>
          <w:b/>
          <w:bCs/>
          <w:color w:val="auto"/>
          <w:sz w:val="32"/>
          <w:highlight w:val="none"/>
          <w:lang w:val="en-US" w:eastAsia="zh-CN"/>
        </w:rPr>
        <w:t xml:space="preserve">26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4</w:t>
      </w:r>
      <w:r>
        <w:rPr>
          <w:rFonts w:hint="eastAsia" w:ascii="宋体" w:hAnsi="宋体" w:cs="宋体"/>
          <w:b/>
          <w:bCs/>
          <w:color w:val="auto"/>
          <w:sz w:val="32"/>
          <w:highlight w:val="none"/>
        </w:rPr>
        <w:t xml:space="preserve">月</w:t>
      </w:r>
      <w:r/>
    </w:p>
    <w:p>
      <w:pPr>
        <w:jc w:val="center"/>
        <w:keepLines w:val="0"/>
        <w:keepNext w:val="0"/>
        <w:pageBreakBefore w:val="0"/>
        <w:spacing w:line="360" w:lineRule="auto"/>
        <w:widowControl w:val="off"/>
        <w:rPr>
          <w:rFonts w:hint="eastAsia"/>
          <w:color w:val="auto"/>
          <w:highlight w:val="none"/>
        </w:rPr>
      </w:pPr>
      <w:r>
        <w:rPr>
          <w:rFonts w:hint="eastAsia" w:ascii="宋体" w:hAnsi="宋体" w:cs="宋体"/>
          <w:color w:val="auto"/>
          <w:sz w:val="44"/>
          <w:szCs w:val="44"/>
          <w:highlight w:val="none"/>
        </w:rPr>
        <w:t xml:space="preserve">竞争性磋商文件备案表</w:t>
      </w:r>
      <w:r/>
    </w:p>
    <w:tbl>
      <w:tblPr>
        <w:tblStyle w:val="953"/>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jc w:val="center"/>
          <w:trHeight w:val="4759"/>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val="en-US" w:eastAsia="zh-CN" w:bidi="ar"/>
              </w:rPr>
              <w:t xml:space="preserve">采购</w:t>
            </w:r>
            <w:r>
              <w:rPr>
                <w:rFonts w:hint="eastAsia" w:ascii="宋体" w:hAnsi="宋体" w:eastAsia="宋体" w:cs="宋体"/>
                <w:color w:val="auto"/>
                <w:sz w:val="28"/>
                <w:szCs w:val="28"/>
                <w:highlight w:val="none"/>
                <w:lang w:bidi="ar"/>
              </w:rPr>
              <w:t xml:space="preserve">代理：</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bidi="ar"/>
              </w:rPr>
              <w:t xml:space="preserve">编制人：</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jc w:val="cente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058"/>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采购人：</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rPr>
                <w:rFonts w:hint="default" w:ascii="Times New Roman" w:hAnsi="Times New Roman" w:eastAsia="宋体" w:cs="Times New Roman"/>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审阅人（签字）：</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color w:val="auto"/>
          <w:highlight w:val="none"/>
        </w:rPr>
      </w:pPr>
      <w:r>
        <w:rPr>
          <w:color w:val="auto"/>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both"/>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sectPr>
          <w:footerReference w:type="default" r:id="rId12"/>
          <w:footerReference w:type="first" r:id="rId13"/>
          <w:footnotePr/>
          <w:endnotePr/>
          <w:type w:val="nextPage"/>
          <w:pgSz w:w="11906" w:h="16838" w:orient="portrait"/>
          <w:pgMar w:top="1418" w:right="1555" w:bottom="1418" w:left="1531" w:header="851" w:footer="992" w:gutter="0"/>
          <w:lnNumType w:countBy="0" w:distance="360"/>
          <w:pgNumType w:start="2"/>
          <w:cols w:num="1" w:sep="0" w:space="720" w:equalWidth="1"/>
          <w:docGrid w:linePitch="360"/>
          <w:titlePg/>
        </w:sect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磋商邀请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供应商须知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合同文本</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采购需求</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评审方法与评审标准</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响应文件格式</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jc w:val="center"/>
        <w:spacing w:line="480" w:lineRule="auto"/>
        <w:rPr>
          <w:rFonts w:hint="eastAsia" w:ascii="宋体" w:hAnsi="宋体" w:eastAsia="宋体" w:cs="宋体"/>
          <w:b/>
          <w:bCs/>
          <w:color w:val="auto"/>
          <w:sz w:val="36"/>
          <w:szCs w:val="21"/>
          <w:highlight w:val="none"/>
        </w:rPr>
        <w:outlineLvl w:val="0"/>
      </w:pPr>
      <w:r>
        <w:rPr>
          <w:rFonts w:hint="eastAsia" w:ascii="宋体" w:hAnsi="宋体" w:eastAsia="宋体" w:cs="宋体"/>
          <w:b/>
          <w:bCs/>
          <w:color w:val="auto"/>
          <w:sz w:val="36"/>
          <w:szCs w:val="21"/>
          <w:highlight w:val="none"/>
        </w:rPr>
        <w:t xml:space="preserve">第一章  </w:t>
      </w:r>
      <w:bookmarkEnd w:id="0"/>
      <w:r>
        <w:rPr>
          <w:rFonts w:hint="eastAsia" w:ascii="宋体" w:hAnsi="宋体" w:eastAsia="宋体" w:cs="宋体"/>
          <w:b/>
          <w:bCs/>
          <w:color w:val="auto"/>
          <w:sz w:val="36"/>
          <w:szCs w:val="21"/>
          <w:highlight w:val="none"/>
        </w:rPr>
        <w:t xml:space="preserve">磋商邀请</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受</w:t>
      </w:r>
      <w:r>
        <w:rPr>
          <w:rFonts w:hint="eastAsia" w:ascii="宋体" w:hAnsi="宋体" w:cs="宋体"/>
          <w:color w:val="auto"/>
          <w:sz w:val="24"/>
          <w:szCs w:val="24"/>
          <w:highlight w:val="none"/>
          <w:u w:val="none"/>
          <w:lang w:eastAsia="zh-CN"/>
        </w:rPr>
        <w:t xml:space="preserve">南通市通州区东社镇人民政府</w:t>
      </w:r>
      <w:r>
        <w:rPr>
          <w:rFonts w:hint="eastAsia" w:ascii="宋体" w:hAnsi="宋体" w:eastAsia="宋体" w:cs="宋体"/>
          <w:color w:val="auto"/>
          <w:sz w:val="24"/>
          <w:szCs w:val="24"/>
          <w:highlight w:val="none"/>
          <w:u w:val="none"/>
        </w:rPr>
        <w:t xml:space="preserve">的委托</w:t>
      </w:r>
      <w:r>
        <w:rPr>
          <w:rFonts w:hint="eastAsia" w:ascii="宋体" w:hAnsi="宋体" w:eastAsia="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eastAsia="zh-CN"/>
        </w:rPr>
        <w:t xml:space="preserve">南通俊达工程造价咨询有限公司</w:t>
      </w:r>
      <w:r>
        <w:rPr>
          <w:rFonts w:hint="eastAsia" w:ascii="宋体" w:hAnsi="宋体" w:eastAsia="宋体" w:cs="宋体"/>
          <w:color w:val="auto"/>
          <w:sz w:val="24"/>
          <w:szCs w:val="24"/>
          <w:highlight w:val="none"/>
          <w:u w:val="none"/>
        </w:rPr>
        <w:t xml:space="preserve">就</w:t>
      </w:r>
      <w:r>
        <w:rPr>
          <w:rFonts w:hint="eastAsia" w:ascii="宋体" w:hAnsi="宋体" w:cs="宋体"/>
          <w:color w:val="auto"/>
          <w:sz w:val="24"/>
          <w:szCs w:val="24"/>
          <w:highlight w:val="none"/>
          <w:u w:val="none"/>
          <w:lang w:eastAsia="zh-CN"/>
        </w:rPr>
        <w:t xml:space="preserve">通州区2026年东社镇一事一议财政奖补项目（</w:t>
      </w:r>
      <w:r>
        <w:rPr>
          <w:rFonts w:hint="eastAsia" w:ascii="宋体" w:hAnsi="宋体" w:cs="宋体"/>
          <w:color w:val="auto"/>
          <w:sz w:val="24"/>
          <w:szCs w:val="24"/>
          <w:highlight w:val="none"/>
          <w:lang w:val="en-US" w:eastAsia="zh-CN"/>
        </w:rPr>
        <w:t xml:space="preserve">项目编号：JSZC-320612-NTJD-C2026-0013）</w:t>
      </w:r>
      <w:r>
        <w:rPr>
          <w:rFonts w:hint="eastAsia" w:ascii="宋体" w:hAnsi="宋体" w:eastAsia="宋体" w:cs="宋体"/>
          <w:color w:val="auto"/>
          <w:sz w:val="24"/>
          <w:szCs w:val="24"/>
          <w:highlight w:val="none"/>
        </w:rPr>
        <w:t xml:space="preserve">项目进行竞争性磋商采购，欢迎符合条件的供应商参加磋商。</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通州区2026年东社镇一事一议财政奖补项目</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28</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bookmarkStart w:id="6" w:name="_Toc28359002"/>
      <w:r/>
      <w:bookmarkStart w:id="7" w:name="_Hlk24379207"/>
      <w:r/>
      <w:bookmarkStart w:id="8" w:name="_Toc38985263"/>
      <w:r/>
      <w:bookmarkStart w:id="9" w:name="_Toc28359079"/>
      <w:r/>
      <w:bookmarkStart w:id="10" w:name="_Toc35393621"/>
      <w:r/>
      <w:bookmarkStart w:id="11" w:name="_Toc35393790"/>
      <w:r>
        <w:rPr>
          <w:rFonts w:hint="eastAsia" w:ascii="宋体" w:hAnsi="宋体" w:eastAsia="宋体" w:cs="宋体"/>
          <w:b/>
          <w:bCs/>
          <w:color w:val="auto"/>
          <w:sz w:val="32"/>
          <w:szCs w:val="32"/>
          <w:highlight w:val="none"/>
        </w:rPr>
        <w:t xml:space="preserve">一、项目基本情况</w:t>
      </w:r>
      <w:bookmarkEnd w:id="6"/>
      <w:r/>
      <w:bookmarkEnd w:id="7"/>
      <w:r/>
      <w:bookmarkEnd w:id="8"/>
      <w:r/>
      <w:bookmarkEnd w:id="9"/>
      <w:r/>
      <w:bookmarkEnd w:id="10"/>
      <w:r/>
      <w:bookmarkEnd w:id="11"/>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bookmarkStart w:id="12" w:name="_Toc38985264"/>
      <w:r/>
      <w:bookmarkStart w:id="13" w:name="_Toc28359003"/>
      <w:r/>
      <w:bookmarkStart w:id="14" w:name="_Toc28359080"/>
      <w:r/>
      <w:bookmarkStart w:id="15" w:name="_Toc35393622"/>
      <w:r/>
      <w:bookmarkStart w:id="16" w:name="_Toc35393791"/>
      <w:r>
        <w:rPr>
          <w:rFonts w:hint="eastAsia" w:ascii="宋体" w:hAnsi="宋体" w:eastAsia="宋体" w:cs="宋体"/>
          <w:color w:val="auto"/>
          <w:sz w:val="24"/>
          <w:szCs w:val="24"/>
          <w:highlight w:val="none"/>
        </w:rPr>
        <w:t xml:space="preserve">1.项目编号：JSZC-320612-NTJD-C2026-0013</w:t>
      </w:r>
      <w:r>
        <w:rPr>
          <w:rFonts w:hint="eastAsia" w:ascii="宋体" w:hAnsi="宋体" w:cs="宋体"/>
          <w:color w:val="auto"/>
          <w:sz w:val="24"/>
          <w:szCs w:val="24"/>
          <w:highlight w:val="none"/>
          <w:lang w:val="en-US" w:eastAsia="zh-CN"/>
        </w:rPr>
        <w:t xml:space="preserve"> </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通州区2026年东社镇一事一议财政奖补项目</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eastAsia="宋体" w:cs="宋体"/>
          <w:color w:val="auto"/>
          <w:sz w:val="24"/>
          <w:szCs w:val="24"/>
          <w:highlight w:val="none"/>
          <w:lang w:val="en-US" w:eastAsia="zh-CN"/>
        </w:rPr>
        <w:t xml:space="preserve">工程</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项目所属行业：建筑业</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合计</w:t>
      </w:r>
      <w:r>
        <w:rPr>
          <w:rFonts w:hint="eastAsia" w:ascii="宋体" w:hAnsi="宋体" w:eastAsia="宋体" w:cs="宋体"/>
          <w:color w:val="auto"/>
          <w:sz w:val="24"/>
          <w:szCs w:val="24"/>
          <w:highlight w:val="none"/>
          <w:lang w:val="en-US" w:eastAsia="zh-CN"/>
        </w:rPr>
        <w:t xml:space="preserve">273.93万元，包1：140.87万元；包2：133.06万元。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包</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129.6</w:t>
      </w:r>
      <w:r>
        <w:rPr>
          <w:rFonts w:hint="eastAsia" w:ascii="宋体" w:hAnsi="宋体" w:eastAsia="宋体" w:cs="宋体"/>
          <w:color w:val="auto"/>
          <w:sz w:val="24"/>
          <w:szCs w:val="24"/>
          <w:highlight w:val="none"/>
          <w:lang w:val="en-US" w:eastAsia="zh-CN"/>
        </w:rPr>
        <w:t xml:space="preserve">万元；包2：</w:t>
      </w:r>
      <w:r>
        <w:rPr>
          <w:rFonts w:hint="eastAsia" w:ascii="宋体" w:hAnsi="宋体" w:cs="宋体"/>
          <w:color w:val="auto"/>
          <w:sz w:val="24"/>
          <w:szCs w:val="24"/>
          <w:highlight w:val="none"/>
          <w:lang w:val="en-US" w:eastAsia="zh-CN"/>
        </w:rPr>
        <w:t xml:space="preserve">122.4</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最终报价超过</w:t>
      </w:r>
      <w:r>
        <w:rPr>
          <w:rFonts w:hint="eastAsia" w:ascii="宋体" w:hAnsi="宋体" w:eastAsia="宋体" w:cs="宋体"/>
          <w:color w:val="auto"/>
          <w:sz w:val="24"/>
          <w:szCs w:val="24"/>
          <w:highlight w:val="none"/>
          <w:lang w:eastAsia="zh-CN"/>
        </w:rPr>
        <w:t xml:space="preserve">各采购包</w:t>
      </w:r>
      <w:r>
        <w:rPr>
          <w:rFonts w:hint="eastAsia" w:ascii="宋体" w:hAnsi="宋体" w:eastAsia="宋体" w:cs="宋体"/>
          <w:color w:val="auto"/>
          <w:sz w:val="24"/>
          <w:szCs w:val="24"/>
          <w:highlight w:val="none"/>
        </w:rPr>
        <w:t xml:space="preserve">最高限价的为无效响应文件。</w:t>
      </w:r>
      <w:r/>
    </w:p>
    <w:p>
      <w:pPr>
        <w:ind w:left="0" w:firstLine="480"/>
        <w:pageBreakBefore w:val="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注：供应商可自行选择其中任意一个或多个包响应，但按采购包开评标顺序（包1→包2）确定成交人，供应商只限成交一个采购包。如已成交包1的成交人参与包2的评标如仍为第一成交候选人，则包2成交人由第二成交候选人替补，依次类推。</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东社镇2026年第一批一事一议财政奖补建设项目，涉及五马路、唐洪、横马、严北、杨港、河东、中和共计</w:t>
      </w:r>
      <w:r>
        <w:rPr>
          <w:rFonts w:hint="eastAsia" w:ascii="宋体" w:hAnsi="宋体" w:cs="宋体"/>
          <w:color w:val="auto"/>
          <w:sz w:val="24"/>
          <w:szCs w:val="24"/>
          <w:highlight w:val="none"/>
          <w:lang w:val="en-US" w:eastAsia="zh-CN"/>
        </w:rPr>
        <w:t xml:space="preserve">7个村，</w:t>
      </w:r>
      <w:r>
        <w:rPr>
          <w:rFonts w:hint="eastAsia" w:ascii="宋体" w:hAnsi="宋体" w:eastAsia="宋体" w:cs="宋体"/>
          <w:color w:val="auto"/>
          <w:sz w:val="24"/>
          <w:szCs w:val="24"/>
          <w:highlight w:val="none"/>
          <w:lang w:val="en-US" w:eastAsia="zh-CN"/>
        </w:rPr>
        <w:t xml:space="preserve">23条道路，</w:t>
      </w:r>
      <w:r>
        <w:rPr>
          <w:rFonts w:hint="eastAsia" w:ascii="宋体" w:hAnsi="宋体" w:cs="宋体"/>
          <w:color w:val="auto"/>
          <w:sz w:val="24"/>
          <w:szCs w:val="24"/>
          <w:highlight w:val="none"/>
          <w:lang w:val="en-US" w:eastAsia="zh-CN"/>
        </w:rPr>
        <w:t xml:space="preserve">长度约</w:t>
      </w:r>
      <w:r>
        <w:rPr>
          <w:rFonts w:hint="eastAsia" w:ascii="宋体" w:hAnsi="宋体" w:eastAsia="宋体" w:cs="宋体"/>
          <w:color w:val="auto"/>
          <w:sz w:val="24"/>
          <w:szCs w:val="24"/>
          <w:highlight w:val="none"/>
          <w:lang w:val="en-US" w:eastAsia="zh-CN"/>
        </w:rPr>
        <w:t xml:space="preserve">5.198公里。分两个包实施，包1包含五马路村、严北村、</w:t>
      </w:r>
      <w:r>
        <w:rPr>
          <w:rFonts w:hint="eastAsia" w:ascii="宋体" w:hAnsi="宋体" w:cs="宋体"/>
          <w:color w:val="auto"/>
          <w:sz w:val="24"/>
          <w:szCs w:val="24"/>
          <w:highlight w:val="none"/>
          <w:lang w:val="en-US" w:eastAsia="zh-CN"/>
        </w:rPr>
        <w:t xml:space="preserve">杨港社区</w:t>
      </w:r>
      <w:r>
        <w:rPr>
          <w:rFonts w:hint="eastAsia" w:ascii="宋体" w:hAnsi="宋体" w:eastAsia="宋体" w:cs="宋体"/>
          <w:color w:val="auto"/>
          <w:sz w:val="24"/>
          <w:szCs w:val="24"/>
          <w:highlight w:val="none"/>
          <w:lang w:val="en-US" w:eastAsia="zh-CN"/>
        </w:rPr>
        <w:t xml:space="preserve">，包2包含横马村、唐洪村、河东村、中和村，</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日历天。</w:t>
      </w:r>
      <w:r/>
    </w:p>
    <w:p>
      <w:pPr>
        <w:ind w:left="0" w:firstLine="48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9.本项目不接受分包。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left="0" w:firstLine="480"/>
        <w:pageBreakBefore w:val="0"/>
        <w:spacing w:line="360" w:lineRule="auto"/>
        <w:rPr>
          <w:rFonts w:hint="eastAsia" w:ascii="宋体" w:hAnsi="宋体" w:eastAsia="宋体" w:cs="宋体"/>
          <w:b/>
          <w:bCs/>
          <w:color w:val="auto"/>
          <w:sz w:val="24"/>
          <w:szCs w:val="24"/>
          <w:highlight w:val="none"/>
        </w:rPr>
      </w:pPr>
      <w:r/>
      <w:bookmarkStart w:id="17" w:name="_Toc28359004"/>
      <w:r/>
      <w:bookmarkStart w:id="18" w:name="_Toc28359081"/>
      <w:r/>
      <w:bookmarkStart w:id="19" w:name="_Toc35393623"/>
      <w:r/>
      <w:bookmarkStart w:id="20" w:name="_Toc38985265"/>
      <w:r/>
      <w:bookmarkStart w:id="21" w:name="_Toc35393792"/>
      <w:r>
        <w:rPr>
          <w:rFonts w:hint="eastAsia" w:ascii="宋体" w:hAnsi="宋体" w:eastAsia="宋体" w:cs="宋体"/>
          <w:b/>
          <w:bCs/>
          <w:color w:val="auto"/>
          <w:sz w:val="24"/>
          <w:szCs w:val="24"/>
          <w:highlight w:val="none"/>
        </w:rPr>
        <w:t xml:space="preserve">（一）通用资格要求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2025年度</w:t>
      </w:r>
      <w:r>
        <w:rPr>
          <w:rFonts w:hint="eastAsia" w:ascii="宋体" w:hAnsi="宋体" w:eastAsia="宋体" w:cs="宋体"/>
          <w:b w:val="0"/>
          <w:bCs/>
          <w:color w:val="auto"/>
          <w:sz w:val="24"/>
          <w:szCs w:val="24"/>
          <w:highlight w:val="none"/>
          <w:lang w:val="en-US" w:eastAsia="zh-CN"/>
        </w:rPr>
        <w:t xml:space="preserve">由会计师事务所（或者审计机构）出具的</w:t>
      </w:r>
      <w:r>
        <w:rPr>
          <w:rFonts w:hint="eastAsia" w:ascii="宋体" w:hAnsi="宋体" w:cs="宋体"/>
          <w:b w:val="0"/>
          <w:bCs/>
          <w:color w:val="auto"/>
          <w:sz w:val="24"/>
          <w:szCs w:val="24"/>
          <w:highlight w:val="none"/>
          <w:lang w:val="en-US" w:eastAsia="zh-CN"/>
        </w:rPr>
        <w:t xml:space="preserve">完整的</w:t>
      </w:r>
      <w:r>
        <w:rPr>
          <w:rFonts w:hint="eastAsia" w:ascii="宋体" w:hAnsi="宋体" w:eastAsia="宋体" w:cs="宋体"/>
          <w:b w:val="0"/>
          <w:bCs/>
          <w:color w:val="auto"/>
          <w:sz w:val="24"/>
          <w:szCs w:val="24"/>
          <w:highlight w:val="none"/>
          <w:lang w:val="en-US" w:eastAsia="zh-CN"/>
        </w:rPr>
        <w:t xml:space="preserve">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auto"/>
          <w:sz w:val="24"/>
          <w:szCs w:val="24"/>
          <w:highlight w:val="none"/>
        </w:rPr>
        <w:t xml:space="preserve">（响应文件中无需提供证明材料）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3.落实政府采购政策需满足的资格要求：</w:t>
      </w: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（1）按照财政部、工业和信息化部关于印发《政府采购促进中小企业发展管理办法》的通知（财库〔2020〕46号）的规定，落实促进中小企业发展政策。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（2）按照《财政部、司法部关于政府采购支持监狱企业发展有关问题的通知》（财库〔2014〕68号）的规定，落实支持监狱企业发展政策。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（3）按照《三部门联合发布关于促进残疾人就业政府采购政策的通知》（财库〔2017〕141号）的规定，落实支持残疾人福利性单位发展政策。  </w:t>
      </w:r>
      <w:r/>
    </w:p>
    <w:p>
      <w:pPr>
        <w:ind w:firstLine="480"/>
        <w:pageBreakBefore w:val="0"/>
        <w:spacing w:line="360" w:lineRule="auto"/>
        <w:rPr>
          <w:rFonts w:hint="default"/>
          <w:color w:val="auto"/>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联合体参与磋商</w:t>
      </w:r>
      <w:r>
        <w:rPr>
          <w:rFonts w:hint="eastAsia" w:ascii="宋体" w:hAnsi="宋体" w:eastAsia="宋体" w:cs="宋体"/>
          <w:color w:val="auto"/>
          <w:sz w:val="24"/>
          <w:szCs w:val="24"/>
          <w:highlight w:val="none"/>
          <w:lang w:eastAsia="zh-CN"/>
        </w:rPr>
        <w:t xml:space="preserve">。</w:t>
      </w:r>
      <w:r/>
    </w:p>
    <w:p>
      <w:pPr>
        <w:ind w:left="0"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（二）本项目的特定资格要求</w:t>
      </w:r>
      <w:r/>
    </w:p>
    <w:p>
      <w:pPr>
        <w:ind w:left="0" w:firstLine="480"/>
        <w:pageBreakBefore w:val="0"/>
        <w:spacing w:line="360" w:lineRule="auto"/>
        <w:rPr>
          <w:rFonts w:hint="eastAsia" w:ascii="宋体" w:hAnsi="宋体" w:eastAsia="宋体" w:cs="宋体"/>
          <w:bCs/>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Cs/>
          <w:color w:val="auto"/>
          <w:sz w:val="24"/>
          <w:szCs w:val="24"/>
          <w:highlight w:val="none"/>
          <w:lang w:bidi="ar"/>
        </w:rPr>
        <w:t xml:space="preserve">企业资质证书（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市政公用工程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施工总承包三级及以上</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）及安全生产许可证</w:t>
      </w:r>
      <w:r>
        <w:rPr>
          <w:rFonts w:hint="eastAsia" w:ascii="宋体" w:hAnsi="宋体" w:eastAsia="宋体" w:cs="宋体"/>
          <w:bCs/>
          <w:color w:val="auto"/>
          <w:sz w:val="24"/>
          <w:szCs w:val="24"/>
          <w:highlight w:val="none"/>
          <w:lang w:eastAsia="zh-CN" w:bidi="ar"/>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lang w:bidi="ar"/>
        </w:rPr>
        <w:t xml:space="preserve">拟派项目负责人资格证书（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市政公用工程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贰级及以上注册建造师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）及安全B证</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Cs/>
          <w:color w:val="auto"/>
          <w:sz w:val="24"/>
          <w:szCs w:val="24"/>
          <w:highlight w:val="none"/>
          <w:lang w:bidi="ar"/>
        </w:rPr>
        <w:t xml:space="preserve">拟派项目负责人无在建</w:t>
      </w:r>
      <w:r>
        <w:rPr>
          <w:rFonts w:hint="eastAsia" w:ascii="宋体" w:hAnsi="宋体" w:eastAsia="宋体" w:cs="宋体"/>
          <w:bCs/>
          <w:color w:val="auto"/>
          <w:sz w:val="24"/>
          <w:szCs w:val="24"/>
          <w:highlight w:val="none"/>
          <w:lang w:val="en-US" w:eastAsia="zh-CN" w:bidi="ar"/>
        </w:rPr>
        <w:t xml:space="preserve">工程</w:t>
      </w:r>
      <w:r>
        <w:rPr>
          <w:rFonts w:hint="eastAsia" w:ascii="宋体" w:hAnsi="宋体" w:eastAsia="宋体" w:cs="宋体"/>
          <w:bCs/>
          <w:color w:val="auto"/>
          <w:sz w:val="24"/>
          <w:szCs w:val="24"/>
          <w:highlight w:val="none"/>
          <w:lang w:bidi="ar"/>
        </w:rPr>
        <w:t xml:space="preserve">承诺书</w:t>
      </w:r>
      <w:r>
        <w:rPr>
          <w:rFonts w:hint="eastAsia" w:ascii="宋体" w:hAnsi="宋体" w:eastAsia="宋体" w:cs="宋体"/>
          <w:bCs/>
          <w:color w:val="auto"/>
          <w:sz w:val="24"/>
          <w:szCs w:val="24"/>
          <w:highlight w:val="none"/>
          <w:lang w:eastAsia="zh-CN" w:bidi="ar"/>
        </w:rPr>
        <w:t xml:space="preserve">；</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Times New Roman" w:hAnsi="Times New Roman" w:eastAsia="宋体" w:cs="Times New Roman"/>
          <w:b/>
          <w:bCs/>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供应商拟派项目负责人为一级注册建造师的，必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本项目供应商拟派的项目负责人为二级注册建造师的，必须根据《省住房和城乡建设厅关于我省二级建造师、二级造价工程师、二级注册建筑师、二级注册结构工程师注册证书电子证照换发的公告》〔2023〕第26号文件要求执行。如未按上述文件要求提供电子证书的，该电子证书无效，视为项目负责人的资格不符合招标文件要求。</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拟派项目负责人安全生产考核证书必须根据《省住房和城乡建设厅关于部分调整我省建筑施工企业安管人员、建筑施工特种作业人员考核、延期复核及证书管理有关事项的公告》〔2023〕第5号文件要求执行。如未按上述文件要求提供电子证书的，该电子证书无效，视为项目负责人的资格不符合招标文件要求。</w:t>
      </w:r>
      <w:r/>
    </w:p>
    <w:p>
      <w:pPr>
        <w:numPr>
          <w:ilvl w:val="0"/>
          <w:numId w:val="5"/>
        </w:numPr>
        <w:ind w:firstLine="480"/>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eastAsia="宋体" w:cs="宋体"/>
          <w:color w:val="auto"/>
          <w:sz w:val="24"/>
          <w:szCs w:val="24"/>
          <w:highlight w:val="none"/>
          <w:lang w:val="en-US" w:eastAsia="zh-CN"/>
        </w:rPr>
        <w:t xml:space="preserve">拟派授权委托人、拟派项目负责人和企业签订的有效劳动合同，投标企业所在地社保机构出具的由企业为授权委托人、拟派项目负责人缴纳的</w:t>
      </w:r>
      <w:r>
        <w:rPr>
          <w:rFonts w:hint="default" w:ascii="宋体" w:hAnsi="宋体" w:eastAsia="宋体" w:cs="宋体"/>
          <w:color w:val="auto"/>
          <w:sz w:val="24"/>
          <w:highlight w:val="none"/>
        </w:rPr>
        <w:t xml:space="preserve">投标截止时间</w:t>
      </w:r>
      <w:r>
        <w:rPr>
          <w:rFonts w:hint="eastAsia" w:ascii="宋体" w:hAnsi="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cs="宋体"/>
          <w:color w:val="auto"/>
          <w:sz w:val="24"/>
          <w:highlight w:val="none"/>
          <w:lang w:eastAsia="zh-CN"/>
        </w:rPr>
        <w:t xml:space="preserve">。</w:t>
      </w:r>
      <w:r/>
    </w:p>
    <w:p>
      <w:pPr>
        <w:contextualSpacing/>
        <w:ind w:firstLine="480"/>
        <w:keepLines w:val="0"/>
        <w:keepNext w:val="0"/>
        <w:pageBreakBefore w:val="0"/>
        <w:spacing w:line="360" w:lineRule="auto"/>
        <w:widowControl w:val="off"/>
        <w:rPr>
          <w:rFonts w:ascii="Times New Roman" w:hAnsi="Times New Roman"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bCs/>
          <w:color w:val="auto"/>
          <w:sz w:val="24"/>
          <w:szCs w:val="24"/>
          <w:highlight w:val="none"/>
        </w:rPr>
        <w:t xml:space="preserve">拒绝下述供应商参加本次采购活动：</w:t>
      </w:r>
      <w:r/>
    </w:p>
    <w:p>
      <w:pPr>
        <w:contextualSpacing/>
        <w:ind w:firstLine="480"/>
        <w:keepLines w:val="0"/>
        <w:keepNext w:val="0"/>
        <w:pageBreakBefore w:val="0"/>
        <w:spacing w:line="360" w:lineRule="auto"/>
        <w:widowControl w:val="off"/>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（1）供应商单位负责人为同一人或者存在直接控股、管理关系的不同供应商，不得参加同一合同项下的政府采购活动。</w:t>
      </w:r>
      <w:r/>
    </w:p>
    <w:p>
      <w:pPr>
        <w:contextualSpacing/>
        <w:ind w:firstLine="480"/>
        <w:keepLines w:val="0"/>
        <w:keepNext w:val="0"/>
        <w:pageBreakBefore w:val="0"/>
        <w:spacing w:line="360" w:lineRule="auto"/>
        <w:widowControl w:val="off"/>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（2）凡为采购项目提供整体设计、规范编制或者项目管理、监理、检测等服务的供应商，不得再参加本项目的采购活动。</w:t>
      </w:r>
      <w:r/>
    </w:p>
    <w:p>
      <w:pPr>
        <w:pStyle w:val="959"/>
        <w:numPr>
          <w:ilvl w:val="0"/>
          <w:numId w:val="0"/>
        </w:numPr>
        <w:ind w:firstLine="480"/>
        <w:keepLines w:val="0"/>
        <w:keepNext w:val="0"/>
        <w:pageBreakBefore w:val="0"/>
        <w:spacing w:line="360" w:lineRule="auto"/>
        <w:widowControl w:val="off"/>
        <w:rPr>
          <w:rFonts w:hint="eastAsia"/>
          <w:color w:val="auto"/>
          <w:lang w:val="en-US" w:eastAsia="zh-CN"/>
        </w:rPr>
      </w:pP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未被“信用中国”“中国政府采购网”列入失信被执行人</w:t>
      </w:r>
      <w:r>
        <w:rPr>
          <w:rFonts w:hint="eastAsia" w:ascii="Times New Roman" w:hAnsi="Times New Roman" w:eastAsia="宋体" w:cs="Times New Roman"/>
          <w:color w:val="auto"/>
          <w:sz w:val="24"/>
          <w:szCs w:val="24"/>
          <w:highlight w:val="none"/>
          <w:lang w:val="en-US" w:eastAsia="zh-CN"/>
        </w:rPr>
        <w:t xml:space="preserve">和</w:t>
      </w:r>
      <w:r>
        <w:rPr>
          <w:rFonts w:hint="eastAsia" w:ascii="Times New Roman" w:hAnsi="Times New Roman" w:eastAsia="宋体" w:cs="Times New Roman"/>
          <w:color w:val="auto"/>
          <w:sz w:val="24"/>
          <w:szCs w:val="24"/>
          <w:highlight w:val="none"/>
        </w:rPr>
        <w:t xml:space="preserve">政府采购严重失信行为记录名单。</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32"/>
          <w:szCs w:val="32"/>
          <w:highlight w:val="none"/>
        </w:rPr>
        <w:t xml:space="preserve">磋商文件</w:t>
      </w:r>
      <w:r/>
    </w:p>
    <w:p>
      <w:pPr>
        <w:ind w:left="0" w:firstLine="480"/>
        <w:pageBreakBefore w:val="0"/>
        <w:spacing w:line="360" w:lineRule="auto"/>
        <w:rPr>
          <w:rFonts w:hint="eastAsia" w:ascii="宋体" w:hAnsi="宋体" w:eastAsia="宋体" w:cs="宋体"/>
          <w:b/>
          <w:color w:val="auto"/>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eastAsia="宋体" w:cs="宋体"/>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自磋商文件公告发布之日起至提交响应文件截止之日止</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2.方式：在“江苏政府采购网”自行免费下载磋商文件。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rPr>
          <w:rFonts w:hint="eastAsia" w:ascii="宋体" w:hAnsi="宋体" w:eastAsia="宋体" w:cs="宋体"/>
          <w:color w:val="auto"/>
          <w:sz w:val="24"/>
          <w:szCs w:val="24"/>
          <w:highlight w:val="none"/>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w:t>
      </w:r>
      <w:bookmarkEnd w:id="22"/>
      <w:r/>
      <w:bookmarkEnd w:id="23"/>
      <w:r>
        <w:rPr>
          <w:rFonts w:hint="eastAsia" w:ascii="宋体" w:hAnsi="宋体" w:eastAsia="宋体" w:cs="宋体"/>
          <w:b/>
          <w:bCs/>
          <w:color w:val="auto"/>
          <w:sz w:val="32"/>
          <w:szCs w:val="32"/>
          <w:highlight w:val="none"/>
        </w:rPr>
        <w:t xml:space="preserve">响应文件截止时间</w:t>
      </w:r>
      <w:bookmarkEnd w:id="24"/>
      <w:r/>
      <w:bookmarkEnd w:id="25"/>
      <w:r/>
      <w:bookmarkEnd w:id="26"/>
      <w:r/>
      <w:r/>
    </w:p>
    <w:p>
      <w:pPr>
        <w:ind w:firstLine="480"/>
        <w:pageBreakBefore w:val="0"/>
        <w:spacing w:line="360" w:lineRule="auto"/>
        <w:rPr>
          <w:rFonts w:hint="eastAsia" w:ascii="宋体" w:hAnsi="宋体" w:eastAsia="宋体" w:cs="宋体"/>
          <w:color w:val="auto"/>
          <w:sz w:val="24"/>
          <w:szCs w:val="24"/>
          <w:highlight w:val="none"/>
        </w:rPr>
      </w:pPr>
      <w:r/>
      <w:bookmarkStart w:id="27" w:name="_Toc35393794"/>
      <w:r/>
      <w:bookmarkStart w:id="28" w:name="_Toc28359084"/>
      <w:r/>
      <w:bookmarkStart w:id="29" w:name="_Toc35393625"/>
      <w:r/>
      <w:bookmarkStart w:id="30" w:name="_Toc28359007"/>
      <w:r/>
      <w:bookmarkStart w:id="31" w:name="_Toc38985267"/>
      <w:r>
        <w:rPr>
          <w:rFonts w:hint="eastAsia" w:ascii="宋体" w:hAnsi="宋体" w:eastAsia="宋体" w:cs="宋体"/>
          <w:bCs/>
          <w:color w:val="auto"/>
          <w:sz w:val="24"/>
          <w:szCs w:val="24"/>
          <w:highlight w:val="none"/>
          <w:u w:val="none"/>
        </w:rPr>
        <w:t xml:space="preserve">1.</w:t>
      </w:r>
      <w:r>
        <w:rPr>
          <w:rFonts w:hint="eastAsia" w:ascii="宋体" w:hAnsi="宋体" w:eastAsia="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28</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分（北京时间）</w:t>
      </w:r>
      <w:r>
        <w:rPr>
          <w:rFonts w:hint="eastAsia" w:ascii="宋体" w:hAnsi="宋体" w:eastAsia="宋体" w:cs="宋体"/>
          <w:bCs/>
          <w:color w:val="auto"/>
          <w:sz w:val="24"/>
          <w:szCs w:val="24"/>
          <w:highlight w:val="none"/>
          <w:u w:val="none"/>
        </w:rPr>
        <w:t xml:space="preserve">。</w:t>
      </w:r>
      <w:r>
        <w:rPr>
          <w:rFonts w:hint="eastAsia" w:ascii="宋体" w:hAnsi="宋体" w:eastAsia="宋体" w:cs="宋体"/>
          <w:color w:val="auto"/>
          <w:sz w:val="24"/>
          <w:szCs w:val="24"/>
          <w:highlight w:val="none"/>
        </w:rPr>
        <w:t xml:space="preserve">逾时，交易系统将拒绝接受上传响应文件电子文档。</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五、公告期限</w:t>
      </w:r>
      <w:bookmarkEnd w:id="27"/>
      <w:r/>
      <w:bookmarkEnd w:id="28"/>
      <w:r/>
      <w:bookmarkEnd w:id="29"/>
      <w:r/>
      <w:bookmarkEnd w:id="30"/>
      <w:r/>
      <w:bookmarkEnd w:id="31"/>
      <w:r/>
      <w:r/>
    </w:p>
    <w:p>
      <w:pPr>
        <w:ind w:left="0" w:firstLine="480"/>
        <w:pageBreakBefore w:val="0"/>
        <w:spacing w:line="360" w:lineRule="auto"/>
        <w:rPr>
          <w:rFonts w:hint="eastAsia" w:ascii="宋体" w:hAnsi="宋体" w:eastAsia="宋体" w:cs="宋体"/>
          <w:color w:val="auto"/>
          <w:sz w:val="24"/>
          <w:szCs w:val="24"/>
          <w:highlight w:val="none"/>
        </w:rPr>
      </w:pPr>
      <w:r/>
      <w:bookmarkStart w:id="32" w:name="_Toc35393626"/>
      <w:r/>
      <w:bookmarkStart w:id="33" w:name="_Toc38985268"/>
      <w:r/>
      <w:bookmarkStart w:id="34" w:name="_Toc35393795"/>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2"/>
      <w:r/>
      <w:bookmarkEnd w:id="33"/>
      <w:r/>
      <w:bookmarkEnd w:id="34"/>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35" w:name="_Toc35393627"/>
      <w:r/>
      <w:bookmarkStart w:id="36" w:name="_Toc28359008"/>
      <w:r/>
      <w:bookmarkStart w:id="37" w:name="_Toc35393796"/>
      <w:r/>
      <w:bookmarkStart w:id="38" w:name="_Toc28359085"/>
      <w:r/>
      <w:bookmarkStart w:id="39" w:name="_Toc38985269"/>
      <w:r>
        <w:rPr>
          <w:rFonts w:hint="eastAsia" w:ascii="宋体" w:hAnsi="宋体" w:eastAsia="宋体" w:cs="宋体"/>
          <w:color w:val="auto"/>
          <w:sz w:val="24"/>
          <w:szCs w:val="24"/>
          <w:highlight w:val="none"/>
          <w:lang w:val="en-US" w:eastAsia="zh-CN" w:bidi="ar-SA"/>
        </w:rPr>
        <w:t xml:space="preserve">1.</w:t>
      </w:r>
      <w:r>
        <w:rPr>
          <w:rFonts w:hint="eastAsia" w:ascii="宋体" w:hAnsi="宋体"/>
          <w:bCs/>
          <w:color w:val="auto"/>
          <w:sz w:val="24"/>
          <w:szCs w:val="24"/>
          <w:highlight w:val="none"/>
        </w:rPr>
        <w:t xml:space="preserve">本次磋商不收取磋商保证金。</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bCs/>
          <w:color w:val="auto"/>
          <w:sz w:val="24"/>
          <w:szCs w:val="24"/>
          <w:highlight w:val="none"/>
        </w:rPr>
        <w:t xml:space="preserve">有关本次磋商的事项若存在变动或修改，敬请及时关注</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在“江苏政府采购网”发布的更正公告。</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bCs/>
          <w:color w:val="auto"/>
          <w:sz w:val="24"/>
          <w:szCs w:val="24"/>
          <w:highlight w:val="none"/>
        </w:rPr>
        <w:t xml:space="preserve">“苏采云”系统使用相关提醒</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3.1.根据省财政厅《关于</w:t>
      </w:r>
      <w:r>
        <w:rPr>
          <w:rFonts w:hint="eastAsia" w:ascii="宋体" w:hAnsi="宋体" w:eastAsia="宋体" w:cs="宋体"/>
          <w:color w:val="auto"/>
          <w:sz w:val="24"/>
          <w:szCs w:val="24"/>
          <w:highlight w:val="none"/>
          <w:lang w:val="en-US" w:eastAsia="zh-CN" w:bidi="ar-SA"/>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3.2领取CA和办理电子签章详见《苏采云系统供应商操作手册》（以下简称《操作手册》））、进行注册并按《操作手册》要求制作、上传电子响应文件。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3磋商当天响应供应商应及时登录“苏采云”，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苏采云平台发生故障，导致磋商无法进行的，采购人可根据实际情况延长相应时间。</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七、本次磋商联系方式</w:t>
      </w:r>
      <w:bookmarkEnd w:id="35"/>
      <w:r/>
      <w:bookmarkEnd w:id="36"/>
      <w:r/>
      <w:bookmarkEnd w:id="37"/>
      <w:r/>
      <w:bookmarkEnd w:id="38"/>
      <w:r/>
      <w:bookmarkEnd w:id="39"/>
      <w:r/>
      <w:r/>
    </w:p>
    <w:p>
      <w:pPr>
        <w:ind w:lef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right="0"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eastAsia="宋体" w:cs="宋体"/>
          <w:color w:val="auto"/>
          <w:sz w:val="24"/>
          <w:szCs w:val="24"/>
          <w:highlight w:val="none"/>
          <w:u w:val="none"/>
          <w:lang w:eastAsia="zh-CN"/>
        </w:rPr>
        <w:t xml:space="preserve">南通市通州区东社镇人民政府</w:t>
      </w:r>
      <w:r/>
    </w:p>
    <w:p>
      <w:pPr>
        <w:ind w:right="0"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地</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址：</w:t>
      </w:r>
      <w:r>
        <w:rPr>
          <w:rFonts w:hint="eastAsia" w:ascii="宋体" w:hAnsi="宋体" w:eastAsia="宋体" w:cs="宋体"/>
          <w:color w:val="auto"/>
          <w:sz w:val="24"/>
          <w:szCs w:val="24"/>
          <w:highlight w:val="none"/>
          <w:u w:val="none"/>
          <w:lang w:eastAsia="zh-CN"/>
        </w:rPr>
        <w:t xml:space="preserve">通州区东社镇</w:t>
      </w:r>
      <w:r/>
    </w:p>
    <w:p>
      <w:pPr>
        <w:ind w:right="0" w:firstLine="480"/>
        <w:pageBreakBefore w:val="0"/>
        <w:spacing w:line="360" w:lineRule="auto"/>
        <w:rPr>
          <w:rFonts w:hint="default"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u w:val="none"/>
        </w:rPr>
        <w:t xml:space="preserve">联系人：</w:t>
      </w:r>
      <w:r>
        <w:rPr>
          <w:rFonts w:hint="eastAsia" w:ascii="宋体" w:hAnsi="宋体" w:eastAsia="宋体" w:cs="宋体"/>
          <w:color w:val="auto"/>
          <w:sz w:val="24"/>
          <w:szCs w:val="24"/>
          <w:highlight w:val="none"/>
          <w:u w:val="none"/>
          <w:lang w:val="en-US" w:eastAsia="zh-CN"/>
        </w:rPr>
        <w:t xml:space="preserve">洪先生     </w:t>
      </w:r>
      <w:r/>
    </w:p>
    <w:p>
      <w:pPr>
        <w:ind w:left="0" w:firstLine="720"/>
        <w:jc w:val="left"/>
        <w:pageBreakBefore w:val="0"/>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rPr>
        <w:t xml:space="preserve">联系方式：</w:t>
      </w:r>
      <w:bookmarkStart w:id="40" w:name="_Toc28359009"/>
      <w:r/>
      <w:bookmarkEnd w:id="40"/>
      <w:r/>
      <w:bookmarkStart w:id="41" w:name="_Toc28359086"/>
      <w:r/>
      <w:bookmarkEnd w:id="41"/>
      <w:r>
        <w:rPr>
          <w:rFonts w:hint="eastAsia" w:ascii="宋体" w:hAnsi="宋体" w:eastAsia="宋体" w:cs="宋体"/>
          <w:color w:val="auto"/>
          <w:sz w:val="24"/>
          <w:szCs w:val="24"/>
          <w:highlight w:val="none"/>
          <w:u w:val="none"/>
          <w:lang w:val="en-US" w:eastAsia="zh-CN"/>
        </w:rPr>
        <w:t xml:space="preserve">13912860021</w:t>
      </w:r>
      <w:r/>
    </w:p>
    <w:p>
      <w:pPr>
        <w:ind w:left="0" w:firstLine="480"/>
        <w:jc w:val="left"/>
        <w:pageBreakBefore w:val="0"/>
        <w:spacing w:line="360" w:lineRule="auto"/>
        <w:widowControl/>
        <w:rPr>
          <w:rFonts w:hint="eastAsia" w:ascii="宋体" w:hAnsi="宋体" w:eastAsia="宋体" w:cs="宋体"/>
          <w:color w:val="auto"/>
          <w:sz w:val="24"/>
          <w:szCs w:val="24"/>
          <w:highlight w:val="none"/>
        </w:rPr>
      </w:pPr>
      <w:r/>
      <w:bookmarkStart w:id="42" w:name="_Toc28359010"/>
      <w:r/>
      <w:bookmarkStart w:id="43" w:name="_Toc28359087"/>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代理信息</w:t>
      </w:r>
      <w:bookmarkEnd w:id="42"/>
      <w:bookmarkEnd w:id="43"/>
      <w:r/>
    </w:p>
    <w:p>
      <w:pPr>
        <w:ind w:left="0" w:firstLine="720"/>
        <w:jc w:val="left"/>
        <w:pageBreakBefore w:val="0"/>
        <w:spacing w:line="360" w:lineRule="auto"/>
        <w:widowControl/>
        <w:rPr>
          <w:rFonts w:hint="eastAsia" w:ascii="宋体" w:hAnsi="宋体" w:cs="宋体"/>
          <w:color w:val="auto"/>
          <w:sz w:val="24"/>
          <w:szCs w:val="24"/>
          <w:highlight w:val="none"/>
          <w:u w:val="none"/>
          <w:lang w:val="en-US" w:eastAsia="zh-CN"/>
        </w:rPr>
      </w:pPr>
      <w:r/>
      <w:bookmarkStart w:id="44" w:name="_Toc120614211"/>
      <w:r>
        <w:rPr>
          <w:rFonts w:hint="eastAsia" w:ascii="宋体" w:hAnsi="宋体" w:cs="宋体"/>
          <w:color w:val="auto"/>
          <w:sz w:val="24"/>
          <w:szCs w:val="24"/>
          <w:highlight w:val="none"/>
          <w:u w:val="none"/>
          <w:lang w:val="en-US" w:eastAsia="zh-CN"/>
        </w:rPr>
        <w:t xml:space="preserve">名  称：南通俊达工程造价咨询有限公司</w:t>
      </w:r>
      <w:r/>
    </w:p>
    <w:p>
      <w:pPr>
        <w:ind w:left="0" w:firstLine="720"/>
        <w:jc w:val="left"/>
        <w:pageBreakBefore w:val="0"/>
        <w:spacing w:line="360" w:lineRule="auto"/>
        <w:widowControl/>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地　址：南通崇川区外环东路80号</w:t>
      </w:r>
      <w:r/>
    </w:p>
    <w:p>
      <w:pPr>
        <w:ind w:left="0" w:firstLine="720"/>
        <w:jc w:val="left"/>
        <w:pageBreakBefore w:val="0"/>
        <w:spacing w:line="360" w:lineRule="auto"/>
        <w:widowControl/>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联系人：赵女士、邵女士</w:t>
      </w:r>
      <w:r/>
    </w:p>
    <w:p>
      <w:pPr>
        <w:ind w:left="0" w:firstLine="720"/>
        <w:jc w:val="left"/>
        <w:pageBreakBefore w:val="0"/>
        <w:spacing w:line="360" w:lineRule="auto"/>
        <w:widowControl/>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联系方式：0513-86101116、18068003528</w:t>
      </w:r>
      <w:r/>
    </w:p>
    <w:p>
      <w:pPr>
        <w:ind w:firstLine="420"/>
        <w:jc w:val="left"/>
        <w:pageBreakBefore w:val="0"/>
        <w:spacing w:line="360" w:lineRule="auto"/>
        <w:widowControl/>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lang w:eastAsia="zh-CN"/>
        </w:rPr>
        <w:t xml:space="preserve">交易系统软件维护人员：0519-86722801、0519-86722806</w:t>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distance="360"/>
          <w:cols w:num="1" w:sep="0" w:space="720" w:equalWidth="1"/>
          <w:docGrid w:linePitch="360"/>
          <w:titlePg/>
        </w:sectPr>
        <w:outlineLvl w:val="0"/>
      </w:pPr>
      <w:r>
        <w:rPr>
          <w:rFonts w:hint="eastAsia" w:ascii="宋体" w:hAnsi="宋体" w:eastAsia="宋体" w:cs="宋体"/>
          <w:b/>
          <w:bCs/>
          <w:color w:val="auto"/>
          <w:sz w:val="44"/>
          <w:szCs w:val="44"/>
          <w:highlight w:val="none"/>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44"/>
      <w:r>
        <w:rPr>
          <w:rFonts w:hint="eastAsia" w:ascii="宋体" w:hAnsi="宋体" w:cs="宋体"/>
          <w:b/>
          <w:bCs/>
          <w:color w:val="auto"/>
          <w:sz w:val="44"/>
          <w:szCs w:val="44"/>
          <w:highlight w:val="none"/>
          <w:lang w:val="en-US" w:eastAsia="zh-CN"/>
        </w:rPr>
        <w:t xml:space="preserve">供应商</w:t>
      </w:r>
      <w:r>
        <w:rPr>
          <w:rFonts w:hint="eastAsia" w:ascii="宋体" w:hAnsi="宋体" w:eastAsia="宋体" w:cs="宋体"/>
          <w:b/>
          <w:bCs/>
          <w:color w:val="auto"/>
          <w:sz w:val="44"/>
          <w:szCs w:val="44"/>
          <w:highlight w:val="none"/>
        </w:rPr>
        <w:t xml:space="preserve">须知</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45" w:name="_Toc20823275"/>
      <w:r/>
      <w:bookmarkStart w:id="46" w:name="_Toc16938519"/>
      <w:r/>
      <w:bookmarkStart w:id="47" w:name="_Toc513029203"/>
      <w:r/>
      <w:bookmarkStart w:id="48" w:name="_Toc120614214"/>
      <w:r>
        <w:rPr>
          <w:rFonts w:hint="eastAsia" w:ascii="宋体" w:hAnsi="宋体" w:eastAsia="宋体" w:cs="宋体"/>
          <w:b/>
          <w:bCs/>
          <w:color w:val="auto"/>
          <w:sz w:val="32"/>
          <w:szCs w:val="32"/>
          <w:highlight w:val="none"/>
        </w:rPr>
        <w:t xml:space="preserve">一、总则</w:t>
      </w:r>
      <w:bookmarkEnd w:id="45"/>
      <w:r/>
      <w:bookmarkEnd w:id="46"/>
      <w:r/>
      <w:bookmarkEnd w:id="47"/>
      <w:r/>
      <w:bookmarkEnd w:id="48"/>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49" w:name="_Hlt16619475"/>
      <w:r/>
      <w:bookmarkEnd w:id="49"/>
      <w:r/>
      <w:bookmarkStart w:id="50" w:name="_Toc458694821"/>
      <w:r/>
      <w:bookmarkStart w:id="51" w:name="_Toc20823276"/>
      <w:r/>
      <w:bookmarkStart w:id="52" w:name="_Toc513029204"/>
      <w:r/>
      <w:bookmarkStart w:id="53" w:name="_Toc16938520"/>
      <w:r>
        <w:rPr>
          <w:rFonts w:hint="eastAsia" w:ascii="宋体" w:hAnsi="宋体" w:eastAsia="宋体" w:cs="宋体"/>
          <w:color w:val="auto"/>
          <w:sz w:val="28"/>
          <w:szCs w:val="28"/>
          <w:highlight w:val="none"/>
        </w:rPr>
        <w:t xml:space="preserve">1</w:t>
      </w:r>
      <w:bookmarkEnd w:id="50"/>
      <w:r>
        <w:rPr>
          <w:rFonts w:hint="eastAsia" w:ascii="宋体" w:hAnsi="宋体" w:eastAsia="宋体" w:cs="宋体"/>
          <w:color w:val="auto"/>
          <w:sz w:val="28"/>
          <w:szCs w:val="28"/>
          <w:highlight w:val="none"/>
        </w:rPr>
        <w:t xml:space="preserve">、采购方式</w:t>
      </w:r>
      <w:bookmarkEnd w:id="51"/>
      <w:r/>
      <w:bookmarkEnd w:id="52"/>
      <w:r/>
      <w:bookmarkEnd w:id="53"/>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w:t>
      </w:r>
      <w:r>
        <w:rPr>
          <w:rFonts w:hint="eastAsia" w:ascii="宋体" w:hAnsi="宋体" w:eastAsia="宋体" w:cs="宋体"/>
          <w:color w:val="auto"/>
          <w:sz w:val="24"/>
          <w:szCs w:val="21"/>
          <w:highlight w:val="none"/>
          <w:lang w:val="en-US" w:eastAsia="zh-CN"/>
        </w:rPr>
        <w:t xml:space="preserve">开标</w:t>
      </w:r>
      <w:r>
        <w:rPr>
          <w:rFonts w:hint="eastAsia" w:ascii="宋体" w:hAnsi="宋体" w:eastAsia="宋体" w:cs="宋体"/>
          <w:color w:val="auto"/>
          <w:sz w:val="24"/>
          <w:szCs w:val="21"/>
          <w:highlight w:val="none"/>
        </w:rPr>
        <w:t xml:space="preserve">活动采取竞争性磋商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以下简称磋商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方式，本磋商文件仅适用于磋商公告中所述项目。</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4" w:name="_Toc20823277"/>
      <w:r/>
      <w:bookmarkStart w:id="55" w:name="_Toc16938521"/>
      <w:r/>
      <w:bookmarkStart w:id="56" w:name="_Toc513029205"/>
      <w:r>
        <w:rPr>
          <w:rFonts w:hint="eastAsia" w:ascii="宋体" w:hAnsi="宋体" w:eastAsia="宋体" w:cs="宋体"/>
          <w:color w:val="auto"/>
          <w:sz w:val="28"/>
          <w:szCs w:val="28"/>
          <w:highlight w:val="none"/>
        </w:rPr>
        <w:t xml:space="preserve">2、合格的</w:t>
      </w:r>
      <w:bookmarkEnd w:id="54"/>
      <w:r/>
      <w:bookmarkEnd w:id="55"/>
      <w:r/>
      <w:bookmarkEnd w:id="56"/>
      <w:r>
        <w:rPr>
          <w:rFonts w:hint="eastAsia" w:ascii="宋体" w:hAnsi="宋体" w:eastAsia="宋体" w:cs="宋体"/>
          <w:color w:val="auto"/>
          <w:sz w:val="28"/>
          <w:szCs w:val="28"/>
          <w:highlight w:val="none"/>
        </w:rPr>
        <w:t xml:space="preserve">供应商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7" w:name="_Toc16938522"/>
      <w:r/>
      <w:bookmarkStart w:id="58" w:name="_Toc20823278"/>
      <w:r/>
      <w:bookmarkStart w:id="59" w:name="_Toc513029206"/>
      <w:r>
        <w:rPr>
          <w:rFonts w:hint="eastAsia" w:ascii="宋体" w:hAnsi="宋体" w:eastAsia="宋体" w:cs="宋体"/>
          <w:color w:val="auto"/>
          <w:sz w:val="28"/>
          <w:szCs w:val="28"/>
          <w:highlight w:val="none"/>
        </w:rPr>
        <w:t xml:space="preserve">3、适用法律</w:t>
      </w:r>
      <w:bookmarkEnd w:id="57"/>
      <w:r/>
      <w:bookmarkEnd w:id="58"/>
      <w:r/>
      <w:bookmarkEnd w:id="59"/>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本次磋商及由此产生的合同受中华人民共和国有关的法律法规制约和保护。</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0" w:name="_Toc462564067"/>
      <w:r/>
      <w:bookmarkStart w:id="61" w:name="_Toc20823279"/>
      <w:r/>
      <w:bookmarkStart w:id="62" w:name="_Toc16938523"/>
      <w:r/>
      <w:bookmarkStart w:id="63" w:name="_Toc513029207"/>
      <w:r>
        <w:rPr>
          <w:rFonts w:hint="eastAsia" w:ascii="宋体" w:hAnsi="宋体" w:eastAsia="宋体" w:cs="宋体"/>
          <w:color w:val="auto"/>
          <w:sz w:val="28"/>
          <w:szCs w:val="28"/>
          <w:highlight w:val="none"/>
        </w:rPr>
        <w:t xml:space="preserve">4、磋商费用</w:t>
      </w:r>
      <w:bookmarkEnd w:id="60"/>
      <w:r/>
      <w:bookmarkEnd w:id="61"/>
      <w:r/>
      <w:bookmarkEnd w:id="62"/>
      <w:r/>
      <w:bookmarkEnd w:id="6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在任何情况下均无义务和责任承担这些费用。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4.2本次磋商采购人不收取标书工本费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通州区公共资源交易中心不收取</w:t>
      </w:r>
      <w:r>
        <w:rPr>
          <w:rFonts w:hint="eastAsia" w:ascii="宋体" w:hAnsi="宋体" w:eastAsia="宋体" w:cs="宋体"/>
          <w:color w:val="auto"/>
          <w:sz w:val="24"/>
          <w:szCs w:val="24"/>
          <w:highlight w:val="none"/>
        </w:rPr>
        <w:t xml:space="preserve">成交服务费。</w:t>
      </w:r>
      <w:r/>
    </w:p>
    <w:p>
      <w:pPr>
        <w:ind w:firstLine="480"/>
        <w:pageBreakBefore w:val="0"/>
        <w:spacing w:line="360" w:lineRule="auto"/>
        <w:widowControl w:val="off"/>
        <w:rPr>
          <w:rFonts w:hint="eastAsia" w:eastAsia="宋体"/>
          <w:i w:val="0"/>
          <w:iCs w:val="0"/>
          <w:color w:val="auto"/>
          <w:sz w:val="24"/>
          <w:szCs w:val="24"/>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i w:val="0"/>
          <w:iCs w:val="0"/>
          <w:color w:val="auto"/>
          <w:sz w:val="24"/>
          <w:szCs w:val="24"/>
          <w:lang w:val="en-US" w:eastAsia="zh-CN"/>
        </w:rPr>
        <w:t xml:space="preserve">本项目招标代理费收取3200元，报价综合考虑，由成交供应商支付</w:t>
      </w:r>
      <w:r>
        <w:rPr>
          <w:rFonts w:hint="eastAsia" w:ascii="宋体" w:hAnsi="宋体" w:eastAsia="宋体" w:cs="宋体"/>
          <w:i w:val="0"/>
          <w:iCs w:val="0"/>
          <w:color w:val="auto"/>
          <w:sz w:val="24"/>
          <w:szCs w:val="24"/>
          <w:highlight w:val="none"/>
          <w:lang w:eastAsia="zh-CN"/>
        </w:rPr>
        <w:t xml:space="preserve">。</w:t>
      </w:r>
      <w:r/>
    </w:p>
    <w:p>
      <w:pPr>
        <w:ind w:firstLine="602"/>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磋商文件的约束力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64" w:name="_Toc513029209"/>
      <w:r/>
      <w:bookmarkStart w:id="65" w:name="_Toc20823281"/>
      <w:r/>
      <w:bookmarkStart w:id="66" w:name="_Toc16938525"/>
      <w:r/>
      <w:bookmarkStart w:id="67" w:name="_Toc120614215"/>
      <w:r>
        <w:rPr>
          <w:rFonts w:hint="eastAsia" w:ascii="宋体" w:hAnsi="宋体" w:eastAsia="宋体" w:cs="宋体"/>
          <w:b/>
          <w:bCs/>
          <w:color w:val="auto"/>
          <w:sz w:val="32"/>
          <w:szCs w:val="32"/>
          <w:highlight w:val="none"/>
        </w:rPr>
        <w:t xml:space="preserve">二、</w:t>
      </w:r>
      <w:bookmarkEnd w:id="64"/>
      <w:r/>
      <w:bookmarkEnd w:id="65"/>
      <w:r/>
      <w:bookmarkEnd w:id="66"/>
      <w:r/>
      <w:bookmarkEnd w:id="67"/>
      <w:r>
        <w:rPr>
          <w:rFonts w:hint="eastAsia" w:ascii="宋体" w:hAnsi="宋体" w:eastAsia="宋体" w:cs="宋体"/>
          <w:b/>
          <w:bCs/>
          <w:color w:val="auto"/>
          <w:sz w:val="32"/>
          <w:szCs w:val="32"/>
          <w:highlight w:val="none"/>
        </w:rPr>
        <w:t xml:space="preserve">磋商文件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8" w:name="_Toc16938526"/>
      <w:r/>
      <w:bookmarkStart w:id="69" w:name="_Toc513029210"/>
      <w:r/>
      <w:bookmarkStart w:id="70" w:name="_Toc20823282"/>
      <w:r>
        <w:rPr>
          <w:rFonts w:hint="eastAsia" w:ascii="宋体" w:hAnsi="宋体" w:eastAsia="宋体" w:cs="宋体"/>
          <w:color w:val="auto"/>
          <w:sz w:val="28"/>
          <w:szCs w:val="28"/>
          <w:highlight w:val="none"/>
        </w:rPr>
        <w:t xml:space="preserve">6、磋商文件构成</w:t>
      </w:r>
      <w:bookmarkEnd w:id="68"/>
      <w:r/>
      <w:bookmarkEnd w:id="69"/>
      <w:r/>
      <w:bookmarkEnd w:id="70"/>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71" w:name="_Toc16938527"/>
      <w:r/>
      <w:bookmarkStart w:id="72" w:name="_Toc20823283"/>
      <w:r/>
      <w:bookmarkStart w:id="73" w:name="_Toc462564070"/>
      <w:r/>
      <w:bookmarkStart w:id="74" w:name="_Toc513029211"/>
      <w:r>
        <w:rPr>
          <w:rFonts w:hint="eastAsia" w:ascii="宋体" w:hAnsi="宋体" w:eastAsia="宋体" w:cs="宋体"/>
          <w:color w:val="auto"/>
          <w:sz w:val="28"/>
          <w:szCs w:val="28"/>
          <w:highlight w:val="none"/>
        </w:rPr>
        <w:t xml:space="preserve">7、磋商文件的澄清</w:t>
      </w:r>
      <w:bookmarkEnd w:id="71"/>
      <w:r/>
      <w:bookmarkEnd w:id="72"/>
      <w:r/>
      <w:bookmarkEnd w:id="73"/>
      <w:r/>
      <w:bookmarkEnd w:id="7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任何要求对磋商文件进行澄清的供应商，应在磋商截止期5日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w:t>
      </w:r>
      <w:r>
        <w:rPr>
          <w:rFonts w:hint="eastAsia" w:ascii="宋体" w:hAnsi="宋体" w:eastAsia="宋体" w:cs="宋体"/>
          <w:color w:val="auto"/>
          <w:sz w:val="24"/>
          <w:szCs w:val="21"/>
          <w:highlight w:val="none"/>
          <w:lang w:val="en-US" w:eastAsia="zh-CN"/>
        </w:rPr>
        <w:t xml:space="preserve">采购人或</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eastAsia="宋体" w:cs="宋体"/>
          <w:color w:val="auto"/>
          <w:sz w:val="24"/>
          <w:szCs w:val="21"/>
          <w:highlight w:val="none"/>
        </w:rPr>
        <w:t xml:space="preserve">。</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75" w:name="_Toc462564071"/>
      <w:r/>
      <w:bookmarkStart w:id="76" w:name="_Toc513029212"/>
      <w:r/>
      <w:bookmarkStart w:id="77" w:name="_Toc20823284"/>
      <w:r/>
      <w:bookmarkStart w:id="78" w:name="_Toc16938528"/>
      <w:r>
        <w:rPr>
          <w:rFonts w:hint="eastAsia" w:ascii="宋体" w:hAnsi="宋体" w:eastAsia="宋体" w:cs="宋体"/>
          <w:color w:val="auto"/>
          <w:sz w:val="28"/>
          <w:szCs w:val="28"/>
          <w:highlight w:val="none"/>
        </w:rPr>
        <w:t xml:space="preserve">8、磋商文件的澄清和修改</w:t>
      </w:r>
      <w:bookmarkEnd w:id="75"/>
      <w:r/>
      <w:bookmarkEnd w:id="76"/>
      <w:r/>
      <w:bookmarkEnd w:id="77"/>
      <w:r/>
      <w:bookmarkEnd w:id="78"/>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8.1 在响应文件提交截止时间前，</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可以对磋商文件进行澄清和修改</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更正公告内容将作为磋商文件的组成部分，并对供应商具有约束力。不足5日的，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将顺延提交首次响应文件截止时间。</w:t>
      </w:r>
      <w:r/>
    </w:p>
    <w:p>
      <w:pPr>
        <w:ind w:firstLine="480"/>
        <w:pageBreakBefore w:val="0"/>
        <w:spacing w:line="36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可以视采购项目的具体情况，组织供应商进行现场考察或召开磋商前答疑会，但不单独或分别组织只有一个供应商参加的现场考察和答疑会。</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79" w:name="_Toc462564072"/>
      <w:r/>
      <w:bookmarkStart w:id="80" w:name="_Toc513029213"/>
      <w:r/>
      <w:bookmarkStart w:id="81" w:name="_Toc20823285"/>
      <w:r/>
      <w:bookmarkStart w:id="82" w:name="_Toc16938529"/>
      <w:r/>
      <w:bookmarkStart w:id="83" w:name="_Toc120614216"/>
      <w:r>
        <w:rPr>
          <w:rFonts w:hint="eastAsia" w:ascii="宋体" w:hAnsi="宋体" w:eastAsia="宋体" w:cs="宋体"/>
          <w:b/>
          <w:bCs/>
          <w:color w:val="auto"/>
          <w:sz w:val="32"/>
          <w:szCs w:val="32"/>
          <w:highlight w:val="none"/>
        </w:rPr>
        <w:t xml:space="preserve">三、响应文件的编制</w:t>
      </w:r>
      <w:bookmarkEnd w:id="79"/>
      <w:r/>
      <w:bookmarkEnd w:id="80"/>
      <w:r/>
      <w:bookmarkEnd w:id="81"/>
      <w:r/>
      <w:bookmarkEnd w:id="82"/>
      <w:r/>
      <w:bookmarkEnd w:id="83"/>
      <w:r/>
      <w:r/>
    </w:p>
    <w:p>
      <w:pPr>
        <w:ind w:firstLine="560"/>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84" w:name="_Toc20823286"/>
      <w:r/>
      <w:bookmarkStart w:id="85" w:name="_Toc16938530"/>
      <w:r/>
      <w:bookmarkStart w:id="86" w:name="_Toc462564073"/>
      <w:r/>
      <w:bookmarkStart w:id="87" w:name="_Toc513029214"/>
      <w:r>
        <w:rPr>
          <w:rFonts w:hint="eastAsia" w:ascii="宋体" w:hAnsi="宋体" w:eastAsia="宋体" w:cs="宋体"/>
          <w:color w:val="auto"/>
          <w:sz w:val="28"/>
          <w:szCs w:val="28"/>
          <w:highlight w:val="none"/>
        </w:rPr>
        <w:t xml:space="preserve">9、响应文件的语言及度量衡单位</w:t>
      </w:r>
      <w:bookmarkEnd w:id="84"/>
      <w:r/>
      <w:bookmarkEnd w:id="85"/>
      <w:r/>
      <w:bookmarkEnd w:id="86"/>
      <w:r/>
      <w:bookmarkEnd w:id="8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88" w:name="_Toc16938531"/>
      <w:r/>
      <w:bookmarkStart w:id="89" w:name="_Toc462564074"/>
      <w:r/>
      <w:bookmarkStart w:id="90" w:name="_Toc513029215"/>
      <w:r/>
      <w:bookmarkStart w:id="91" w:name="_Toc20823287"/>
      <w:r>
        <w:rPr>
          <w:rFonts w:hint="eastAsia" w:ascii="宋体" w:hAnsi="宋体" w:eastAsia="宋体" w:cs="宋体"/>
          <w:color w:val="auto"/>
          <w:sz w:val="28"/>
          <w:szCs w:val="28"/>
          <w:highlight w:val="none"/>
        </w:rPr>
        <w:t xml:space="preserve">10、响应文件构成</w:t>
      </w:r>
      <w:bookmarkEnd w:id="88"/>
      <w:r/>
      <w:bookmarkEnd w:id="89"/>
      <w:r/>
      <w:bookmarkEnd w:id="90"/>
      <w:r/>
      <w:bookmarkEnd w:id="91"/>
      <w:r/>
      <w:r/>
    </w:p>
    <w:p>
      <w:pPr>
        <w:ind w:firstLine="48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bCs/>
          <w:color w:val="auto"/>
          <w:sz w:val="24"/>
          <w:szCs w:val="21"/>
          <w:highlight w:val="none"/>
        </w:rPr>
        <w:t xml:space="preserve">10.1供应商编写的响应文件应包括资格证明文件、</w:t>
      </w:r>
      <w:r>
        <w:rPr>
          <w:rFonts w:hint="eastAsia" w:ascii="宋体" w:hAnsi="宋体" w:eastAsia="宋体" w:cs="宋体"/>
          <w:bCs/>
          <w:color w:val="auto"/>
          <w:sz w:val="24"/>
          <w:szCs w:val="21"/>
          <w:highlight w:val="none"/>
          <w:lang w:val="en-US" w:eastAsia="zh-CN"/>
        </w:rPr>
        <w:t xml:space="preserve">符合性证明文件、商务技术要求响应文件、价格文件</w:t>
      </w:r>
      <w:r>
        <w:rPr>
          <w:rFonts w:hint="eastAsia" w:ascii="宋体" w:hAnsi="宋体" w:eastAsia="宋体" w:cs="宋体"/>
          <w:bCs/>
          <w:color w:val="auto"/>
          <w:sz w:val="24"/>
          <w:szCs w:val="21"/>
          <w:highlight w:val="none"/>
        </w:rPr>
        <w:t xml:space="preserve">。供应商按“第</w:t>
      </w:r>
      <w:r>
        <w:rPr>
          <w:rFonts w:hint="eastAsia" w:ascii="宋体" w:hAnsi="宋体" w:eastAsia="宋体" w:cs="宋体"/>
          <w:bCs/>
          <w:color w:val="auto"/>
          <w:sz w:val="24"/>
          <w:szCs w:val="21"/>
          <w:highlight w:val="none"/>
          <w:lang w:val="en-US" w:eastAsia="zh-CN"/>
        </w:rPr>
        <w:t xml:space="preserve">六章</w:t>
      </w:r>
      <w:r>
        <w:rPr>
          <w:rFonts w:hint="eastAsia" w:ascii="宋体" w:hAnsi="宋体" w:eastAsia="宋体" w:cs="宋体"/>
          <w:bCs/>
          <w:color w:val="auto"/>
          <w:sz w:val="24"/>
          <w:szCs w:val="21"/>
          <w:highlight w:val="none"/>
        </w:rPr>
        <w:t xml:space="preserve"> 响应文件</w:t>
      </w:r>
      <w:r>
        <w:rPr>
          <w:rFonts w:hint="eastAsia" w:ascii="宋体" w:hAnsi="宋体" w:eastAsia="宋体" w:cs="宋体"/>
          <w:bCs/>
          <w:color w:val="auto"/>
          <w:sz w:val="24"/>
          <w:szCs w:val="21"/>
          <w:highlight w:val="none"/>
          <w:lang w:val="en-US" w:eastAsia="zh-CN"/>
        </w:rPr>
        <w:t xml:space="preserve">格式</w:t>
      </w:r>
      <w:r>
        <w:rPr>
          <w:rFonts w:hint="eastAsia" w:ascii="宋体" w:hAnsi="宋体" w:eastAsia="宋体" w:cs="宋体"/>
          <w:bCs/>
          <w:color w:val="auto"/>
          <w:sz w:val="24"/>
          <w:szCs w:val="21"/>
          <w:highlight w:val="none"/>
        </w:rPr>
        <w:t xml:space="preserve">”要求编写响应文件。</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2" w:name="_Hlt26668975"/>
      <w:r/>
      <w:bookmarkEnd w:id="92"/>
      <w:r/>
      <w:bookmarkStart w:id="93" w:name="_Hlt26670360"/>
      <w:r/>
      <w:bookmarkEnd w:id="93"/>
      <w:r/>
      <w:bookmarkStart w:id="94" w:name="_Hlt26954838"/>
      <w:r/>
      <w:bookmarkEnd w:id="94"/>
      <w:r/>
      <w:bookmarkStart w:id="95" w:name="_Toc49090510"/>
      <w:r/>
      <w:bookmarkStart w:id="96" w:name="_Toc14577359"/>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、证明磋商响应标的符合磋商文件规定的文件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12、已标价工程量清单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w:t>
      </w:r>
      <w:r>
        <w:rPr>
          <w:rFonts w:hint="eastAsia" w:ascii="宋体" w:hAnsi="宋体" w:eastAsia="宋体" w:cs="宋体"/>
          <w:color w:val="auto"/>
          <w:sz w:val="24"/>
          <w:szCs w:val="24"/>
          <w:highlight w:val="none"/>
          <w:lang w:eastAsia="zh-CN"/>
        </w:rPr>
        <w:t xml:space="preserve">采购人提供工程量清单编制</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w:t>
      </w:r>
      <w:r>
        <w:rPr>
          <w:rFonts w:hint="eastAsia" w:ascii="宋体" w:hAnsi="宋体" w:eastAsia="宋体" w:cs="宋体"/>
          <w:color w:val="auto"/>
          <w:sz w:val="24"/>
          <w:szCs w:val="24"/>
          <w:highlight w:val="none"/>
        </w:rPr>
        <w:t xml:space="preserve">单位标注。磋商文件中另有规定的按规定执行。</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13、施工方案、人员安排及其他</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13.1供应商需根据磋商文件要求提供有关施工方案等。</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13.2供应商需根据磋商文件要求提供</w:t>
      </w:r>
      <w:r>
        <w:rPr>
          <w:rFonts w:hint="eastAsia" w:ascii="宋体" w:hAnsi="宋体" w:eastAsia="宋体" w:cs="宋体"/>
          <w:color w:val="auto"/>
          <w:sz w:val="24"/>
          <w:szCs w:val="24"/>
          <w:highlight w:val="none"/>
          <w:lang w:val="zh-CN" w:eastAsia="zh-CN"/>
        </w:rPr>
        <w:t xml:space="preserve">磋商响应标的的主要组成部分、实现思路及关键技术等。</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磋商响应函</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供应商应按照磋商文件中提供的格式完整、正确填写磋商响应函。</w:t>
      </w:r>
      <w:bookmarkEnd w:id="95"/>
      <w:r/>
      <w:bookmarkEnd w:id="96"/>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7" w:name="_Toc14577360"/>
      <w:r/>
      <w:bookmarkStart w:id="98" w:name="_Toc49090511"/>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、磋商有效期</w:t>
      </w:r>
      <w:bookmarkEnd w:id="97"/>
      <w:r/>
      <w:bookmarkEnd w:id="98"/>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.1磋商有效期为采购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规定的提交响应文件截止之日后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、磋商有效期的延长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.1在特殊情况下，采购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99" w:name="_Hlt26954852"/>
      <w:r/>
      <w:bookmarkEnd w:id="99"/>
      <w:r/>
      <w:bookmarkStart w:id="100" w:name="_Hlt26954739"/>
      <w:r/>
      <w:bookmarkEnd w:id="100"/>
      <w:r/>
      <w:bookmarkStart w:id="101" w:name="_Toc513029224"/>
      <w:r/>
      <w:bookmarkStart w:id="102" w:name="_Toc120614217"/>
      <w:r/>
      <w:bookmarkStart w:id="103" w:name="_Toc20823296"/>
      <w:r/>
      <w:bookmarkStart w:id="104" w:name="_Toc16938540"/>
      <w:r>
        <w:rPr>
          <w:rFonts w:hint="eastAsia" w:ascii="宋体" w:hAnsi="宋体" w:eastAsia="宋体" w:cs="宋体"/>
          <w:b/>
          <w:bCs/>
          <w:color w:val="auto"/>
          <w:sz w:val="32"/>
          <w:szCs w:val="32"/>
          <w:highlight w:val="none"/>
        </w:rPr>
        <w:t xml:space="preserve">四、响应文件的递交</w:t>
      </w:r>
      <w:bookmarkEnd w:id="101"/>
      <w:r/>
      <w:bookmarkEnd w:id="102"/>
      <w:r/>
      <w:bookmarkEnd w:id="103"/>
      <w:r/>
      <w:bookmarkEnd w:id="104"/>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05" w:name="_Toc462564084"/>
      <w:r/>
      <w:bookmarkStart w:id="106" w:name="_Toc20823297"/>
      <w:r/>
      <w:bookmarkStart w:id="107" w:name="_Toc513029225"/>
      <w:r/>
      <w:bookmarkStart w:id="108" w:name="_Toc16938541"/>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、电子磋商</w:t>
      </w:r>
      <w:bookmarkEnd w:id="105"/>
      <w:r/>
      <w:bookmarkEnd w:id="106"/>
      <w:r/>
      <w:bookmarkEnd w:id="107"/>
      <w:r/>
      <w:bookmarkEnd w:id="108"/>
      <w:r>
        <w:rPr>
          <w:rFonts w:hint="eastAsia" w:ascii="宋体" w:hAnsi="宋体" w:eastAsia="宋体" w:cs="宋体"/>
          <w:color w:val="auto"/>
          <w:sz w:val="28"/>
          <w:szCs w:val="28"/>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.1供应商应当按照《操作手册》规定，在提交响应文件截止时间前制作并上传电子响应文件。</w:t>
      </w:r>
      <w:bookmarkStart w:id="109" w:name="_Toc513029226"/>
      <w:r/>
      <w:bookmarkStart w:id="110" w:name="_Toc20823298"/>
      <w:r/>
      <w:bookmarkStart w:id="111" w:name="_Toc16938542"/>
      <w:r/>
      <w:r/>
    </w:p>
    <w:p>
      <w:pPr>
        <w:ind w:firstLine="560"/>
        <w:keepLines/>
        <w:keepNext/>
        <w:pageBreakBefore w:val="0"/>
        <w:spacing w:line="360" w:lineRule="auto"/>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、提交响应文件截止时间</w:t>
      </w:r>
      <w:bookmarkEnd w:id="109"/>
      <w:r/>
      <w:bookmarkEnd w:id="110"/>
      <w:r/>
      <w:bookmarkEnd w:id="111"/>
      <w:r/>
      <w:r/>
    </w:p>
    <w:p>
      <w:pPr>
        <w:ind w:firstLine="480"/>
        <w:pageBreakBefore w:val="0"/>
        <w:spacing w:line="360" w:lineRule="auto"/>
        <w:widowControl w:val="off"/>
        <w:rPr>
          <w:rFonts w:hint="eastAsia" w:ascii="宋体" w:hAnsi="宋体" w:eastAsia="宋体" w:cs="宋体"/>
          <w:bCs/>
          <w:i w:val="0"/>
          <w:iCs/>
          <w:color w:val="auto"/>
          <w:sz w:val="24"/>
          <w:szCs w:val="21"/>
          <w:highlight w:val="none"/>
          <w:u w:val="single"/>
        </w:rPr>
      </w:pPr>
      <w:r>
        <w:rPr>
          <w:rFonts w:hint="eastAsia" w:ascii="宋体" w:hAnsi="宋体" w:cs="宋体"/>
          <w:i w:val="0"/>
          <w:iCs/>
          <w:color w:val="auto"/>
          <w:sz w:val="24"/>
          <w:szCs w:val="21"/>
          <w:highlight w:val="none"/>
          <w:u w:val="single"/>
          <w:lang w:val="en-US" w:eastAsia="zh-CN"/>
        </w:rPr>
        <w:t xml:space="preserve">18</w:t>
      </w:r>
      <w:r>
        <w:rPr>
          <w:rFonts w:hint="eastAsia" w:ascii="宋体" w:hAnsi="宋体" w:eastAsia="宋体" w:cs="宋体"/>
          <w:i w:val="0"/>
          <w:iCs/>
          <w:color w:val="auto"/>
          <w:sz w:val="24"/>
          <w:szCs w:val="21"/>
          <w:highlight w:val="none"/>
          <w:u w:val="single"/>
        </w:rPr>
        <w:t xml:space="preserve">.1</w:t>
      </w:r>
      <w:r>
        <w:rPr>
          <w:rFonts w:hint="eastAsia" w:ascii="宋体" w:hAnsi="宋体" w:eastAsia="宋体" w:cs="宋体"/>
          <w:bCs/>
          <w:i w:val="0"/>
          <w:i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w:t>
      </w:r>
      <w:r>
        <w:rPr>
          <w:rFonts w:hint="eastAsia" w:ascii="宋体" w:hAnsi="宋体" w:cs="宋体"/>
          <w:bCs/>
          <w:color w:val="auto"/>
          <w:sz w:val="24"/>
          <w:szCs w:val="21"/>
          <w:highlight w:val="none"/>
          <w:lang w:eastAsia="zh-CN"/>
        </w:rPr>
        <w:t xml:space="preserve">充分考虑</w:t>
      </w:r>
      <w:r>
        <w:rPr>
          <w:rFonts w:hint="eastAsia" w:ascii="宋体" w:hAnsi="宋体" w:eastAsia="宋体" w:cs="宋体"/>
          <w:bCs/>
          <w:color w:val="auto"/>
          <w:sz w:val="24"/>
          <w:szCs w:val="21"/>
          <w:highlight w:val="none"/>
        </w:rPr>
        <w:t xml:space="preserve">网络环境、网络带宽等风险因素，如因供应商自身原因造成的电子响应文件上传不成功的按照本磋商文件第二章第2</w:t>
      </w:r>
      <w:r>
        <w:rPr>
          <w:rFonts w:hint="eastAsia" w:ascii="宋体" w:hAnsi="宋体" w:eastAsia="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.3.2条规定做无效响应处理。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.2</w:t>
      </w:r>
      <w:r>
        <w:rPr>
          <w:rFonts w:hint="eastAsia" w:ascii="宋体" w:hAnsi="宋体" w:eastAsia="宋体" w:cs="宋体"/>
          <w:bCs/>
          <w:color w:val="auto"/>
          <w:sz w:val="24"/>
          <w:szCs w:val="21"/>
          <w:highlight w:val="none"/>
        </w:rPr>
        <w:t xml:space="preserve">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2" w:name="_Toc20823299"/>
      <w:r/>
      <w:bookmarkStart w:id="113" w:name="_Toc16938543"/>
      <w:r/>
      <w:bookmarkStart w:id="114" w:name="_Toc513029227"/>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、响应文件</w:t>
      </w:r>
      <w:bookmarkEnd w:id="112"/>
      <w:r/>
      <w:bookmarkEnd w:id="113"/>
      <w:r/>
      <w:bookmarkEnd w:id="114"/>
      <w:r>
        <w:rPr>
          <w:rFonts w:hint="eastAsia" w:ascii="宋体" w:hAnsi="宋体" w:eastAsia="宋体" w:cs="宋体"/>
          <w:color w:val="auto"/>
          <w:sz w:val="28"/>
          <w:szCs w:val="28"/>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w:t>
      </w:r>
      <w:r>
        <w:rPr>
          <w:rFonts w:hint="eastAsia" w:ascii="宋体" w:hAnsi="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.1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拒绝接收在其规定的提交响应文件截止时间后上传的任何电子响应文件。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5" w:name="_Toc513029228"/>
      <w:r/>
      <w:bookmarkStart w:id="116" w:name="_Toc20823300"/>
      <w:r/>
      <w:bookmarkStart w:id="117" w:name="_Toc16938544"/>
      <w:r>
        <w:rPr>
          <w:rFonts w:hint="eastAsia" w:ascii="宋体" w:hAnsi="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、响应文件的撤回和修改</w:t>
      </w:r>
      <w:bookmarkEnd w:id="115"/>
      <w:r/>
      <w:bookmarkEnd w:id="116"/>
      <w:r/>
      <w:bookmarkEnd w:id="11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.1.1 电子响应文件的撤回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.2响应文件的修改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.4</w:t>
      </w:r>
      <w:r>
        <w:rPr>
          <w:rFonts w:hint="eastAsia" w:ascii="宋体" w:hAnsi="宋体" w:eastAsia="宋体" w:cs="宋体"/>
          <w:bCs/>
          <w:color w:val="auto"/>
          <w:sz w:val="24"/>
          <w:szCs w:val="21"/>
          <w:highlight w:val="none"/>
        </w:rPr>
        <w:t xml:space="preserve"> 在提交响应文件截止时间至磋商文件中规定的磋商有效期满之间的这段时间内，供应商不得撤回其响应文件。</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18" w:name="_Toc20823301"/>
      <w:r/>
      <w:bookmarkStart w:id="119" w:name="_Toc513029229"/>
      <w:r/>
      <w:bookmarkStart w:id="120" w:name="_Toc16938545"/>
      <w:r/>
      <w:bookmarkStart w:id="121" w:name="_Toc120614218"/>
      <w:r>
        <w:rPr>
          <w:rFonts w:hint="eastAsia" w:ascii="宋体" w:hAnsi="宋体" w:eastAsia="宋体" w:cs="宋体"/>
          <w:b/>
          <w:bCs/>
          <w:color w:val="auto"/>
          <w:sz w:val="32"/>
          <w:szCs w:val="32"/>
          <w:highlight w:val="none"/>
        </w:rPr>
        <w:t xml:space="preserve">五、响应文件的解密与评审</w:t>
      </w:r>
      <w:bookmarkEnd w:id="118"/>
      <w:r/>
      <w:bookmarkEnd w:id="119"/>
      <w:r/>
      <w:bookmarkEnd w:id="120"/>
      <w:r/>
      <w:bookmarkEnd w:id="121"/>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2" w:name="_Toc20823302"/>
      <w:r/>
      <w:bookmarkStart w:id="123" w:name="_Toc513029230"/>
      <w:r/>
      <w:bookmarkStart w:id="124" w:name="_Toc16938546"/>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w:t>
      </w:r>
      <w:bookmarkEnd w:id="122"/>
      <w:r/>
      <w:bookmarkEnd w:id="123"/>
      <w:r/>
      <w:bookmarkEnd w:id="124"/>
      <w:r>
        <w:rPr>
          <w:rFonts w:hint="eastAsia" w:ascii="宋体" w:hAnsi="宋体" w:eastAsia="宋体" w:cs="宋体"/>
          <w:color w:val="auto"/>
          <w:sz w:val="28"/>
          <w:szCs w:val="28"/>
          <w:highlight w:val="none"/>
        </w:rPr>
        <w:t xml:space="preserve">响应文件解密</w:t>
      </w:r>
      <w:r/>
    </w:p>
    <w:p>
      <w:pPr>
        <w:ind w:firstLine="48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 w:val="24"/>
          <w:szCs w:val="21"/>
          <w:highlight w:val="none"/>
          <w:lang w:val="en-US" w:eastAsia="zh-CN"/>
        </w:rPr>
        <w:t xml:space="preserve">21</w:t>
      </w: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4"/>
          <w:highlight w:val="none"/>
        </w:rPr>
        <w:t xml:space="preserve">供应商应当按照《操作手册》规定，在苏采云系统规定的时间内对磋商响应文件进行解密。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5" w:name="_Toc20823303"/>
      <w:r/>
      <w:bookmarkStart w:id="126" w:name="_Toc513029231"/>
      <w:r/>
      <w:bookmarkStart w:id="127" w:name="_Toc16938547"/>
      <w:r>
        <w:rPr>
          <w:rFonts w:hint="eastAsia" w:ascii="宋体" w:hAnsi="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、磋商小组</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.2磋商小组独立工作，负责评审所有响应文件并确定成交</w:t>
      </w:r>
      <w:r>
        <w:rPr>
          <w:rFonts w:hint="eastAsia" w:ascii="宋体" w:hAnsi="宋体" w:cs="宋体"/>
          <w:color w:val="auto"/>
          <w:sz w:val="24"/>
          <w:szCs w:val="24"/>
          <w:highlight w:val="none"/>
          <w:lang w:val="en-US" w:eastAsia="zh-CN"/>
        </w:rPr>
        <w:t xml:space="preserve">候选</w:t>
      </w:r>
      <w:r>
        <w:rPr>
          <w:rFonts w:hint="eastAsia" w:ascii="宋体" w:hAnsi="宋体" w:eastAsia="宋体" w:cs="宋体"/>
          <w:color w:val="auto"/>
          <w:sz w:val="24"/>
          <w:szCs w:val="24"/>
          <w:highlight w:val="none"/>
        </w:rPr>
        <w:t xml:space="preserve">人。</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23</w:t>
      </w:r>
      <w:r>
        <w:rPr>
          <w:rFonts w:hint="eastAsia" w:ascii="宋体" w:hAnsi="宋体" w:eastAsia="宋体" w:cs="宋体"/>
          <w:color w:val="auto"/>
          <w:sz w:val="28"/>
          <w:szCs w:val="28"/>
          <w:highlight w:val="none"/>
        </w:rPr>
        <w:t xml:space="preserve">、评审过程的保密与公正</w:t>
      </w:r>
      <w:bookmarkEnd w:id="125"/>
      <w:r/>
      <w:bookmarkEnd w:id="126"/>
      <w:r/>
      <w:bookmarkEnd w:id="127"/>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磋商小组、采购人和采购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4"/>
          <w:highlight w:val="none"/>
        </w:rPr>
        <w:t xml:space="preserve">在项目评审期间，</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采购</w:t>
      </w:r>
      <w:r>
        <w:rPr>
          <w:rFonts w:hint="eastAsia" w:ascii="宋体" w:hAnsi="宋体" w:eastAsia="宋体" w:cs="宋体"/>
          <w:color w:val="auto"/>
          <w:sz w:val="24"/>
          <w:szCs w:val="24"/>
          <w:highlight w:val="none"/>
          <w:lang w:val="en-US" w:eastAsia="zh-CN"/>
        </w:rPr>
        <w:t xml:space="preserve">人、采购代理机构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8" w:name="_Toc16938548"/>
      <w:r/>
      <w:bookmarkStart w:id="129" w:name="_Toc20823304"/>
      <w:r/>
      <w:bookmarkStart w:id="130" w:name="_Toc513029232"/>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、评审过程中</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澄清</w:t>
      </w:r>
      <w:bookmarkEnd w:id="128"/>
      <w:r/>
      <w:bookmarkEnd w:id="129"/>
      <w:r/>
      <w:bookmarkEnd w:id="13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接到磋商小组澄清、说明和更正要求的供应商如未按规定做出澄清、说明和 更正，其风险由供应商自行承担。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31" w:name="_Toc16938549"/>
      <w:r/>
      <w:bookmarkStart w:id="132" w:name="_Toc513029233"/>
      <w:r/>
      <w:bookmarkStart w:id="133" w:name="_Toc20823305"/>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、对响应文件的审</w:t>
      </w:r>
      <w:bookmarkEnd w:id="131"/>
      <w:r/>
      <w:bookmarkEnd w:id="132"/>
      <w:r/>
      <w:bookmarkEnd w:id="133"/>
      <w:r>
        <w:rPr>
          <w:rFonts w:hint="eastAsia" w:ascii="宋体" w:hAnsi="宋体" w:eastAsia="宋体" w:cs="宋体"/>
          <w:color w:val="auto"/>
          <w:sz w:val="28"/>
          <w:szCs w:val="28"/>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.3未实质性响应磋商文件的情形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.3.2供应商未按照磋商文件要求上传电子响应文件的。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.3.4供应商不具备磋商文件中规定资格要求的。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.3.5供应商的最后报价超过了采购预算。</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.3.6不符合磋商文件中规定的实质性要求和条件的</w:t>
      </w:r>
      <w:r>
        <w:rPr>
          <w:rFonts w:hint="eastAsia" w:ascii="宋体" w:hAnsi="宋体" w:eastAsia="宋体" w:cs="宋体"/>
          <w:bCs/>
          <w:i/>
          <w:color w:val="auto"/>
          <w:sz w:val="24"/>
          <w:szCs w:val="21"/>
          <w:highlight w:val="none"/>
          <w:u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.3.8响应文件含有采购人不能接受的附加条件的。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w:t>
      </w:r>
      <w:r>
        <w:rPr>
          <w:rFonts w:hint="eastAsia" w:ascii="宋体" w:hAnsi="宋体" w:eastAsia="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响应文件未按照磋商文件要求加盖CA电子公章的。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4"/>
          <w:szCs w:val="21"/>
          <w:highlight w:val="none"/>
          <w:lang w:eastAsia="zh-CN"/>
        </w:rPr>
        <w:t xml:space="preserve">不符</w:t>
      </w:r>
      <w:r>
        <w:rPr>
          <w:rFonts w:hint="eastAsia" w:ascii="宋体" w:hAnsi="宋体" w:eastAsia="宋体" w:cs="宋体"/>
          <w:bCs/>
          <w:color w:val="auto"/>
          <w:sz w:val="24"/>
          <w:szCs w:val="21"/>
          <w:highlight w:val="none"/>
        </w:rPr>
        <w:t xml:space="preserve">合要求的偏离或保留而使其成为实质性响应的文件。</w:t>
      </w:r>
      <w:r/>
    </w:p>
    <w:p>
      <w:pPr>
        <w:ind w:firstLine="480"/>
        <w:pageBreakBefore w:val="0"/>
        <w:spacing w:line="360" w:lineRule="auto"/>
        <w:widowControl w:val="off"/>
        <w:rPr>
          <w:rFonts w:hint="eastAsia" w:ascii="宋体" w:hAnsi="宋体" w:eastAsia="宋体" w:cs="宋体"/>
          <w:color w:val="auto"/>
          <w:sz w:val="24"/>
          <w:szCs w:val="21"/>
          <w:highlight w:val="none"/>
        </w:rPr>
      </w:pPr>
      <w:r/>
      <w:bookmarkStart w:id="134" w:name="_Toc16938550"/>
      <w:r/>
      <w:bookmarkStart w:id="135" w:name="_Toc20823306"/>
      <w:r/>
      <w:bookmarkStart w:id="136" w:name="_Toc513029234"/>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.6供应商在项目评审全过程中应保持通讯畅通，并安排专人与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及磋商小组联系。</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bookmarkEnd w:id="134"/>
      <w:r/>
      <w:bookmarkEnd w:id="135"/>
      <w:r/>
      <w:bookmarkEnd w:id="136"/>
      <w:r>
        <w:rPr>
          <w:rFonts w:hint="eastAsia" w:ascii="宋体" w:hAnsi="宋体" w:eastAsia="宋体" w:cs="宋体"/>
          <w:color w:val="auto"/>
          <w:sz w:val="28"/>
          <w:szCs w:val="28"/>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最后报价是供应商响应文件的有效组成部分。提交最后报价的供应商</w:t>
      </w:r>
      <w:r>
        <w:rPr>
          <w:rFonts w:hint="eastAsia" w:ascii="宋体" w:hAnsi="宋体" w:eastAsia="宋体" w:cs="宋体"/>
          <w:color w:val="auto"/>
          <w:sz w:val="24"/>
          <w:szCs w:val="24"/>
          <w:highlight w:val="none"/>
          <w:lang w:val="en-US" w:eastAsia="zh-CN"/>
        </w:rPr>
        <w:t xml:space="preserve">不得少于3家</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37" w:name="_Toc16938551"/>
      <w:r/>
      <w:bookmarkStart w:id="138" w:name="_Toc120614219"/>
      <w:r/>
      <w:bookmarkStart w:id="139" w:name="_Toc20823307"/>
      <w:r/>
      <w:bookmarkStart w:id="140" w:name="_Toc513029235"/>
      <w:r>
        <w:rPr>
          <w:rFonts w:hint="eastAsia" w:ascii="宋体" w:hAnsi="宋体" w:eastAsia="宋体" w:cs="宋体"/>
          <w:b/>
          <w:bCs/>
          <w:color w:val="auto"/>
          <w:sz w:val="32"/>
          <w:szCs w:val="32"/>
          <w:highlight w:val="none"/>
        </w:rPr>
        <w:t xml:space="preserve">六、</w:t>
      </w:r>
      <w:bookmarkEnd w:id="137"/>
      <w:r/>
      <w:bookmarkEnd w:id="138"/>
      <w:r/>
      <w:bookmarkEnd w:id="139"/>
      <w:r/>
      <w:bookmarkEnd w:id="140"/>
      <w:r>
        <w:rPr>
          <w:rFonts w:hint="eastAsia" w:ascii="宋体" w:hAnsi="宋体" w:eastAsia="宋体" w:cs="宋体"/>
          <w:b/>
          <w:bCs/>
          <w:color w:val="auto"/>
          <w:sz w:val="32"/>
          <w:szCs w:val="32"/>
          <w:highlight w:val="none"/>
        </w:rPr>
        <w:t xml:space="preserve">成交</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1" w:name="_Toc513029238"/>
      <w:r/>
      <w:bookmarkStart w:id="142" w:name="_Toc16938554"/>
      <w:r/>
      <w:bookmarkStart w:id="143" w:name="_Toc20823310"/>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7</w:t>
      </w:r>
      <w:r>
        <w:rPr>
          <w:rFonts w:hint="eastAsia" w:ascii="宋体" w:hAnsi="宋体" w:eastAsia="宋体" w:cs="宋体"/>
          <w:bCs/>
          <w:color w:val="auto"/>
          <w:sz w:val="30"/>
          <w:szCs w:val="30"/>
          <w:highlight w:val="none"/>
        </w:rPr>
        <w:t xml:space="preserve">、</w:t>
      </w:r>
      <w:bookmarkEnd w:id="141"/>
      <w:r>
        <w:rPr>
          <w:rFonts w:hint="eastAsia" w:ascii="宋体" w:hAnsi="宋体" w:eastAsia="宋体" w:cs="宋体"/>
          <w:bCs/>
          <w:color w:val="auto"/>
          <w:sz w:val="30"/>
          <w:szCs w:val="30"/>
          <w:highlight w:val="none"/>
        </w:rPr>
        <w:t xml:space="preserve">确定</w:t>
      </w:r>
      <w:bookmarkEnd w:id="142"/>
      <w:r/>
      <w:bookmarkEnd w:id="143"/>
      <w:r>
        <w:rPr>
          <w:rFonts w:hint="eastAsia" w:ascii="宋体" w:hAnsi="宋体" w:eastAsia="宋体" w:cs="宋体"/>
          <w:bCs/>
          <w:color w:val="auto"/>
          <w:sz w:val="30"/>
          <w:szCs w:val="30"/>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将在“江苏政府采购网”发布成交结果公告，公告期限为1个工作日。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.3.1提供虚假材料谋取成交的。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.3.2与评审专家、采购人、其他供应商或者</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工作人员恶意串通的。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.3.3向评审专家、采购人或</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工作人员行贿或者提供其他不正当利益的。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.3.7将政府采购合同转包的。</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4" w:name="_Toc200451960"/>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8</w:t>
      </w:r>
      <w:r>
        <w:rPr>
          <w:rFonts w:hint="eastAsia" w:ascii="宋体" w:hAnsi="宋体" w:eastAsia="宋体" w:cs="宋体"/>
          <w:bCs/>
          <w:color w:val="auto"/>
          <w:sz w:val="30"/>
          <w:szCs w:val="30"/>
          <w:highlight w:val="none"/>
        </w:rPr>
        <w:t xml:space="preserve">、质疑处理</w:t>
      </w:r>
      <w:bookmarkEnd w:id="14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29</w:t>
      </w:r>
      <w:r>
        <w:rPr>
          <w:rFonts w:hint="eastAsia" w:ascii="宋体" w:hAnsi="宋体" w:eastAsia="宋体" w:cs="宋体"/>
          <w:bCs/>
          <w:color w:val="auto"/>
          <w:sz w:val="30"/>
          <w:szCs w:val="30"/>
          <w:highlight w:val="none"/>
        </w:rPr>
        <w:t xml:space="preserve">、成交通知书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45" w:name="_Toc16938552"/>
      <w:r/>
      <w:bookmarkStart w:id="146" w:name="_Toc20823308"/>
      <w:r/>
      <w:bookmarkStart w:id="147" w:name="_Toc120614220"/>
      <w:r/>
      <w:bookmarkStart w:id="148" w:name="_Toc513029236"/>
      <w:r>
        <w:rPr>
          <w:rFonts w:hint="eastAsia" w:ascii="宋体" w:hAnsi="宋体" w:eastAsia="宋体" w:cs="宋体"/>
          <w:b/>
          <w:bCs/>
          <w:color w:val="auto"/>
          <w:sz w:val="32"/>
          <w:szCs w:val="32"/>
          <w:highlight w:val="none"/>
        </w:rPr>
        <w:t xml:space="preserve">七、授予合同</w:t>
      </w:r>
      <w:bookmarkEnd w:id="145"/>
      <w:r/>
      <w:bookmarkEnd w:id="146"/>
      <w:r/>
      <w:bookmarkEnd w:id="147"/>
      <w:r/>
      <w:bookmarkEnd w:id="148"/>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9" w:name="_Toc16938553"/>
      <w:r/>
      <w:bookmarkStart w:id="150" w:name="_Toc20823309"/>
      <w:r/>
      <w:bookmarkStart w:id="151" w:name="_Toc513029237"/>
      <w:r>
        <w:rPr>
          <w:rFonts w:hint="eastAsia" w:ascii="宋体" w:hAnsi="宋体" w:cs="宋体"/>
          <w:bCs/>
          <w:color w:val="auto"/>
          <w:sz w:val="30"/>
          <w:szCs w:val="30"/>
          <w:highlight w:val="none"/>
          <w:lang w:val="en-US" w:eastAsia="zh-CN"/>
        </w:rPr>
        <w:t xml:space="preserve">30</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签订合同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签订合同后，成交供应商不得将合同标的进行转包。未经采购人同意，成交供应商也不得采用分包形式履行合同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31</w:t>
      </w:r>
      <w:r>
        <w:rPr>
          <w:rFonts w:hint="eastAsia" w:ascii="宋体" w:hAnsi="宋体" w:eastAsia="宋体" w:cs="宋体"/>
          <w:bCs/>
          <w:color w:val="auto"/>
          <w:sz w:val="30"/>
          <w:szCs w:val="30"/>
          <w:highlight w:val="none"/>
        </w:rPr>
        <w:t xml:space="preserve">、标的物的追加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9"/>
      <w:r/>
      <w:bookmarkEnd w:id="150"/>
      <w:r/>
      <w:bookmarkEnd w:id="151"/>
      <w:r/>
      <w:r/>
    </w:p>
    <w:p>
      <w:pPr>
        <w:numPr>
          <w:ilvl w:val="0"/>
          <w:numId w:val="6"/>
        </w:num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履约保证金</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32.1</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供应商在收到</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通知书后，在签订合同前向采购人缴纳履约保证金。本项目履约保证金为合同总额的10%，履约保证金应当以</w:t>
      </w:r>
      <w:r>
        <w:rPr>
          <w:rFonts w:hint="eastAsia" w:ascii="宋体" w:hAnsi="宋体" w:eastAsia="宋体" w:cs="宋体"/>
          <w:bCs/>
          <w:i w:val="0"/>
          <w:iCs w:val="0"/>
          <w:color w:val="auto"/>
          <w:sz w:val="24"/>
          <w:szCs w:val="24"/>
        </w:rPr>
        <w:t xml:space="preserve">支票、汇票、本票或者金融机构、担保机构出具的保函</w:t>
      </w:r>
      <w:r>
        <w:rPr>
          <w:rFonts w:hint="eastAsia" w:ascii="宋体" w:hAnsi="宋体" w:eastAsia="宋体" w:cs="宋体"/>
          <w:bCs/>
          <w:color w:val="auto"/>
          <w:sz w:val="24"/>
          <w:szCs w:val="24"/>
          <w:highlight w:val="none"/>
          <w:lang w:val="en-US" w:eastAsia="zh-CN"/>
        </w:rPr>
        <w:t xml:space="preserve">（需为不可撤销的见索即付独立保函）</w:t>
      </w:r>
      <w:r>
        <w:rPr>
          <w:rFonts w:hint="eastAsia" w:ascii="宋体" w:hAnsi="宋体" w:eastAsia="宋体" w:cs="宋体"/>
          <w:bCs/>
          <w:color w:val="auto"/>
          <w:sz w:val="24"/>
          <w:szCs w:val="24"/>
          <w:highlight w:val="none"/>
        </w:rPr>
        <w:t xml:space="preserve">等形式提交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若</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val="en-US" w:eastAsia="zh-CN"/>
        </w:rPr>
        <w:t xml:space="preserve">采用保函形式提交的，</w:t>
      </w:r>
      <w:r>
        <w:rPr>
          <w:rFonts w:hint="eastAsia" w:ascii="宋体" w:hAnsi="宋体" w:cs="宋体"/>
          <w:bCs/>
          <w:color w:val="auto"/>
          <w:sz w:val="24"/>
          <w:szCs w:val="24"/>
          <w:highlight w:val="none"/>
          <w:lang w:eastAsia="zh-CN"/>
        </w:rPr>
        <w:t xml:space="preserve">保函担保有效期开具时间为合同约定工期基础延长</w:t>
      </w:r>
      <w:r>
        <w:rPr>
          <w:rFonts w:hint="eastAsia" w:ascii="宋体" w:hAnsi="宋体" w:cs="宋体"/>
          <w:bCs/>
          <w:color w:val="auto"/>
          <w:sz w:val="24"/>
          <w:szCs w:val="24"/>
          <w:highlight w:val="none"/>
          <w:lang w:val="en-US" w:eastAsia="zh-CN"/>
        </w:rPr>
        <w:t xml:space="preserve">一</w:t>
      </w:r>
      <w:r>
        <w:rPr>
          <w:rFonts w:hint="eastAsia" w:ascii="宋体" w:hAnsi="宋体" w:cs="宋体"/>
          <w:bCs/>
          <w:color w:val="auto"/>
          <w:sz w:val="24"/>
          <w:szCs w:val="24"/>
          <w:highlight w:val="none"/>
          <w:lang w:eastAsia="zh-CN"/>
        </w:rPr>
        <w:t xml:space="preserve">个月）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逾期视为</w:t>
      </w:r>
      <w:r>
        <w:rPr>
          <w:rFonts w:hint="eastAsia" w:ascii="宋体" w:hAnsi="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自动放弃</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资格，</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有权按照相关程序另行确定</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32.2</w:t>
      </w:r>
      <w:r>
        <w:rPr>
          <w:rFonts w:hint="eastAsia" w:ascii="宋体" w:hAnsi="宋体" w:eastAsia="宋体" w:cs="宋体"/>
          <w:bCs/>
          <w:color w:val="auto"/>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供应商未缴纳履约保证金，采购人有权取消本次采购中标决定。</w:t>
      </w:r>
      <w:r/>
    </w:p>
    <w:p>
      <w:pPr>
        <w:ind w:firstLine="480"/>
        <w:pageBreakBefore w:val="0"/>
        <w:spacing w:line="360" w:lineRule="auto"/>
        <w:widowControl w:val="off"/>
        <w:rPr>
          <w:rFonts w:hint="default" w:ascii="Times New Roman" w:hAnsi="Times New Roman" w:eastAsia="宋体" w:cs="Times New Roman"/>
          <w:i w:val="0"/>
          <w:iCs w:val="0"/>
          <w:color w:val="auto"/>
          <w:sz w:val="24"/>
          <w:szCs w:val="24"/>
          <w:lang w:val="en-US" w:eastAsia="zh-CN"/>
        </w:rPr>
      </w:pPr>
      <w:r>
        <w:rPr>
          <w:rFonts w:hint="eastAsia" w:ascii="宋体" w:hAnsi="宋体" w:eastAsia="宋体" w:cs="宋体"/>
          <w:bCs/>
          <w:i w:val="0"/>
          <w:iCs w:val="0"/>
          <w:color w:val="auto"/>
          <w:sz w:val="24"/>
          <w:szCs w:val="24"/>
          <w:lang w:val="en-US" w:eastAsia="zh-CN"/>
        </w:rPr>
        <w:t xml:space="preserve">32.3</w:t>
      </w:r>
      <w:r>
        <w:rPr>
          <w:rFonts w:hint="eastAsia" w:ascii="宋体" w:hAnsi="宋体" w:eastAsia="宋体" w:cs="宋体"/>
          <w:bCs/>
          <w:i w:val="0"/>
          <w:iCs w:val="0"/>
          <w:color w:val="auto"/>
          <w:sz w:val="24"/>
          <w:szCs w:val="24"/>
        </w:rPr>
        <w:t xml:space="preserve">履约保证金的退还：</w:t>
      </w:r>
      <w:r>
        <w:rPr>
          <w:rFonts w:hint="eastAsia" w:ascii="宋体" w:hAnsi="宋体" w:eastAsia="宋体" w:cs="宋体"/>
          <w:color w:val="auto"/>
          <w:sz w:val="24"/>
          <w:szCs w:val="24"/>
          <w:highlight w:val="none"/>
        </w:rPr>
        <w:t xml:space="preserve">合同履行结束后，</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供应商办理履约保证金退还手续。采购人逾期退还履约保证金的，按照同期银行活期存款利率承担违约责任</w:t>
      </w:r>
      <w:r>
        <w:rPr>
          <w:rFonts w:hint="eastAsia" w:ascii="宋体" w:hAnsi="宋体" w:eastAsia="宋体" w:cs="宋体"/>
          <w:color w:val="auto"/>
          <w:sz w:val="24"/>
          <w:szCs w:val="24"/>
          <w:highlight w:val="none"/>
          <w:lang w:eastAsia="zh-CN"/>
        </w:rPr>
        <w:t xml:space="preserve">。</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lang w:val="en-US" w:eastAsia="zh-CN"/>
        </w:rPr>
        <w:outlineLvl w:val="3"/>
      </w:pPr>
      <w:r>
        <w:rPr>
          <w:rFonts w:hint="eastAsia" w:ascii="宋体" w:hAnsi="宋体" w:eastAsia="宋体" w:cs="宋体"/>
          <w:bCs/>
          <w:color w:val="auto"/>
          <w:sz w:val="30"/>
          <w:szCs w:val="30"/>
          <w:highlight w:val="none"/>
          <w:lang w:val="en-US" w:eastAsia="zh-CN"/>
        </w:rPr>
        <w:t xml:space="preserve">33</w:t>
      </w:r>
      <w:r>
        <w:rPr>
          <w:rFonts w:hint="eastAsia" w:ascii="宋体" w:hAnsi="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lang w:val="en-US" w:eastAsia="zh-CN"/>
        </w:rPr>
        <w:t xml:space="preserve">差额履约保证金</w:t>
      </w:r>
      <w:r/>
    </w:p>
    <w:p>
      <w:pPr>
        <w:ind w:firstLine="48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33.1成交价</w:t>
      </w:r>
      <w:r>
        <w:rPr>
          <w:rFonts w:hint="eastAsia" w:ascii="宋体" w:hAnsi="宋体" w:eastAsia="宋体" w:cs="宋体"/>
          <w:bCs/>
          <w:color w:val="auto"/>
          <w:sz w:val="24"/>
          <w:szCs w:val="24"/>
          <w:highlight w:val="none"/>
        </w:rPr>
        <w:t xml:space="preserve">降价幅度不超过采购预算10%的，</w:t>
      </w:r>
      <w:r>
        <w:rPr>
          <w:rFonts w:hint="eastAsia" w:ascii="宋体" w:hAnsi="宋体" w:cs="宋体"/>
          <w:bCs/>
          <w:color w:val="auto"/>
          <w:sz w:val="24"/>
          <w:szCs w:val="24"/>
          <w:highlight w:val="none"/>
          <w:lang w:val="en-US" w:eastAsia="zh-CN"/>
        </w:rPr>
        <w:t xml:space="preserve">按第32条收取</w:t>
      </w:r>
      <w:r>
        <w:rPr>
          <w:rFonts w:hint="eastAsia" w:ascii="宋体" w:hAnsi="宋体" w:eastAsia="宋体" w:cs="宋体"/>
          <w:bCs/>
          <w:color w:val="auto"/>
          <w:sz w:val="24"/>
          <w:szCs w:val="24"/>
          <w:highlight w:val="none"/>
        </w:rPr>
        <w:t xml:space="preserve">履约保证金；成交</w:t>
      </w:r>
      <w:r>
        <w:rPr>
          <w:rFonts w:hint="eastAsia" w:ascii="宋体" w:hAnsi="宋体" w:cs="宋体"/>
          <w:bCs/>
          <w:color w:val="auto"/>
          <w:sz w:val="24"/>
          <w:szCs w:val="24"/>
          <w:highlight w:val="none"/>
          <w:lang w:val="en-US" w:eastAsia="zh-CN"/>
        </w:rPr>
        <w:t xml:space="preserve">价</w:t>
      </w:r>
      <w:r>
        <w:rPr>
          <w:rFonts w:hint="eastAsia" w:ascii="宋体" w:hAnsi="宋体" w:eastAsia="宋体" w:cs="宋体"/>
          <w:bCs/>
          <w:color w:val="auto"/>
          <w:sz w:val="24"/>
          <w:szCs w:val="24"/>
          <w:highlight w:val="none"/>
        </w:rPr>
        <w:t xml:space="preserve">降价幅度超过采购预算10%的，</w:t>
      </w:r>
      <w:r>
        <w:rPr>
          <w:rFonts w:hint="eastAsia" w:ascii="宋体" w:hAnsi="宋体" w:eastAsia="宋体" w:cs="宋体"/>
          <w:bCs/>
          <w:color w:val="auto"/>
          <w:sz w:val="24"/>
          <w:szCs w:val="24"/>
          <w:highlight w:val="none"/>
          <w:lang w:val="en-US" w:eastAsia="zh-CN"/>
        </w:rPr>
        <w:t xml:space="preserve">成交人向采购人提供差额履约保证金，金额为最高限价与成交价的差值。</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33.2差额履约保证金的缴纳方式和退还同履约保证金。</w:t>
      </w:r>
      <w:r>
        <w:rPr>
          <w:rFonts w:hint="eastAsia" w:ascii="宋体" w:hAnsi="宋体" w:cs="宋体"/>
          <w:bCs/>
          <w:color w:val="auto"/>
          <w:sz w:val="24"/>
          <w:szCs w:val="24"/>
          <w:highlight w:val="none"/>
          <w:lang w:val="en-US" w:eastAsia="zh-CN"/>
        </w:rPr>
        <w:t xml:space="preserve">（本项目不收取差额履约保证金。）</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52" w:name="_Toc120614221"/>
      <w:r/>
      <w:bookmarkStart w:id="153" w:name="_Toc479757207"/>
      <w:r/>
      <w:bookmarkStart w:id="154" w:name="_Toc20823314"/>
      <w:r/>
      <w:bookmarkStart w:id="155" w:name="_Toc513029242"/>
      <w:r/>
      <w:bookmarkStart w:id="156" w:name="_Toc16938558"/>
      <w:r>
        <w:rPr>
          <w:rFonts w:hint="eastAsia" w:ascii="宋体" w:hAnsi="宋体" w:cs="宋体"/>
          <w:bCs/>
          <w:color w:val="auto"/>
          <w:sz w:val="30"/>
          <w:szCs w:val="30"/>
          <w:highlight w:val="none"/>
          <w:lang w:val="en-US" w:eastAsia="zh-CN"/>
        </w:rPr>
        <w:t xml:space="preserve">34</w:t>
      </w:r>
      <w:r>
        <w:rPr>
          <w:rFonts w:hint="eastAsia" w:ascii="宋体" w:hAnsi="宋体" w:eastAsia="宋体" w:cs="宋体"/>
          <w:bCs/>
          <w:color w:val="auto"/>
          <w:sz w:val="30"/>
          <w:szCs w:val="30"/>
          <w:highlight w:val="none"/>
        </w:rPr>
        <w:t xml:space="preserve">、政府采购履约资金扶持政策</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34.1</w:t>
      </w:r>
      <w:r>
        <w:rPr>
          <w:rFonts w:hint="eastAsia" w:ascii="宋体" w:hAnsi="宋体" w:eastAsia="宋体" w:cs="宋体"/>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auto"/>
          <w:sz w:val="24"/>
          <w:szCs w:val="24"/>
          <w:highlight w:val="none"/>
        </w:rPr>
        <w:t xml:space="preserve">。</w:t>
      </w:r>
      <w:r/>
    </w:p>
    <w:p>
      <w:pPr>
        <w:ind w:firstLine="48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34.2</w:t>
      </w:r>
      <w:r>
        <w:rPr>
          <w:rFonts w:hint="eastAsia" w:ascii="宋体" w:hAnsi="宋体" w:eastAsia="宋体" w:cs="宋体"/>
          <w:color w:val="auto"/>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lang w:val="en-US" w:eastAsia="zh-CN"/>
        </w:rPr>
        <w:t xml:space="preserve">3</w:t>
      </w:r>
      <w:r>
        <w:rPr>
          <w:rFonts w:hint="eastAsia" w:ascii="宋体" w:hAnsi="宋体" w:cs="宋体"/>
          <w:bCs/>
          <w:color w:val="auto"/>
          <w:sz w:val="30"/>
          <w:szCs w:val="30"/>
          <w:highlight w:val="none"/>
          <w:lang w:val="en-US" w:eastAsia="zh-CN"/>
        </w:rPr>
        <w:t xml:space="preserve">5</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t xml:space="preserve">履约验收</w:t>
      </w:r>
      <w:r/>
    </w:p>
    <w:p>
      <w:pPr>
        <w:pStyle w:val="1140"/>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履约验收的基本要求：中标供应商应按照合同约定的时间、质量、数量等要求完成本项目。本项目将严格按照项目需求中的质量和技术要求和标准进行履约验收。</w:t>
      </w:r>
      <w:r/>
    </w:p>
    <w:p>
      <w:pPr>
        <w:pStyle w:val="1140"/>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履约验收的实施主体：由采购人作为实施主体，负责组织开展本项目的履约验收工作。也可根据实际需要委托具有相关专业资质和能力的第三方机构协助开展验收工作。</w:t>
      </w:r>
      <w:r/>
    </w:p>
    <w:p>
      <w:pPr>
        <w:pStyle w:val="1140"/>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履约验收的时间方式：政府采购合同约定的履约验收条件达到时，采购人应当在</w:t>
      </w:r>
      <w:r>
        <w:rPr>
          <w:rFonts w:hint="eastAsia" w:ascii="宋体" w:hAnsi="宋体" w:eastAsia="宋体" w:cs="宋体"/>
          <w:b w:val="0"/>
          <w:bCs w:val="0"/>
          <w:color w:val="auto"/>
          <w:sz w:val="24"/>
          <w:szCs w:val="24"/>
          <w:highlight w:val="none"/>
          <w:lang w:val="en-US" w:eastAsia="zh-CN"/>
        </w:rPr>
        <w:t xml:space="preserve">及时</w:t>
      </w:r>
      <w:r>
        <w:rPr>
          <w:rFonts w:hint="eastAsia" w:ascii="宋体" w:hAnsi="宋体" w:eastAsia="宋体" w:cs="宋体"/>
          <w:b w:val="0"/>
          <w:bCs w:val="0"/>
          <w:color w:val="auto"/>
          <w:sz w:val="24"/>
          <w:szCs w:val="24"/>
          <w:highlight w:val="none"/>
        </w:rPr>
        <w:t xml:space="preserve">启动履约验收工作，并向供应商发出《政府采购履约验收通知单》（见附件）</w:t>
      </w:r>
      <w:r/>
    </w:p>
    <w:p>
      <w:pPr>
        <w:pStyle w:val="1140"/>
        <w:ind w:firstLine="420"/>
        <w:spacing w:before="0" w:after="0" w:line="440" w:lineRule="exact"/>
        <w:rPr>
          <w:rFonts w:hint="default" w:ascii="宋体" w:hAnsi="宋体" w:eastAsia="宋体" w:cs="宋体"/>
          <w:b w:val="0"/>
          <w:bCs w:val="0"/>
          <w:color w:val="auto"/>
          <w:sz w:val="24"/>
          <w:szCs w:val="24"/>
          <w:highlight w:val="none"/>
          <w:lang w:val="en-US" w:eastAsia="zh-CN"/>
        </w:rPr>
        <w:sectPr>
          <w:footnotePr/>
          <w:endnotePr/>
          <w:type w:val="nextPage"/>
          <w:pgSz w:w="11906" w:h="16838" w:orient="portrait"/>
          <w:pgMar w:top="1418" w:right="1555" w:bottom="1418" w:left="1531" w:header="851" w:footer="992" w:gutter="0"/>
          <w:lnNumType w:countBy="0" w:distance="360"/>
          <w:cols w:num="1" w:sep="0" w:space="720" w:equalWidth="1"/>
          <w:docGrid w:linePitch="360"/>
          <w:titlePg/>
        </w:sect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履约验收的内容：涵盖实施项目的完整性，包含项目需求中的质量和技术要求和施工图、工程量清单中的施工标准。</w:t>
      </w:r>
      <w:r>
        <w:rPr>
          <w:rFonts w:hint="eastAsia" w:ascii="宋体" w:hAnsi="宋体" w:eastAsia="宋体" w:cs="宋体"/>
          <w:b w:val="0"/>
          <w:bCs w:val="0"/>
          <w:color w:val="auto"/>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t xml:space="preserve">第三章  合同</w:t>
      </w:r>
      <w:bookmarkEnd w:id="152"/>
      <w:r/>
      <w:bookmarkEnd w:id="153"/>
      <w:r/>
      <w:bookmarkEnd w:id="154"/>
      <w:r/>
      <w:bookmarkEnd w:id="155"/>
      <w:r/>
      <w:bookmarkEnd w:id="156"/>
      <w:r>
        <w:rPr>
          <w:rFonts w:hint="eastAsia" w:ascii="宋体" w:hAnsi="宋体" w:eastAsia="宋体" w:cs="宋体"/>
          <w:bCs/>
          <w:color w:val="auto"/>
          <w:sz w:val="44"/>
          <w:szCs w:val="28"/>
          <w:highlight w:val="none"/>
        </w:rPr>
        <w:t xml:space="preserve">文本</w:t>
      </w:r>
      <w:r/>
    </w:p>
    <w:p>
      <w:pPr>
        <w:ind w:firstLine="480"/>
        <w:pageBreakBefore w:val="0"/>
        <w:spacing w:line="360" w:lineRule="auto"/>
        <w:widowControl w:val="off"/>
        <w:rPr>
          <w:rFonts w:hint="eastAsia" w:ascii="宋体" w:hAnsi="宋体" w:eastAsia="宋体" w:cs="宋体"/>
          <w:bCs/>
          <w:color w:val="auto"/>
          <w:sz w:val="24"/>
          <w:szCs w:val="24"/>
          <w:highlight w:val="none"/>
        </w:rPr>
      </w:pPr>
      <w:r/>
      <w:bookmarkStart w:id="157" w:name="_Toc513029243"/>
      <w:r/>
      <w:bookmarkStart w:id="158" w:name="_Toc16938559"/>
      <w:r/>
      <w:bookmarkStart w:id="159" w:name="_Toc20823315"/>
      <w:r/>
      <w:bookmarkStart w:id="160" w:name="_Toc120614244"/>
      <w:r/>
      <w:bookmarkStart w:id="161" w:name="_Toc20823346"/>
      <w:r/>
      <w:bookmarkStart w:id="162" w:name="_Toc16938590"/>
      <w:r/>
      <w:bookmarkStart w:id="163" w:name="_Toc479757211"/>
      <w:r/>
      <w:bookmarkStart w:id="164" w:name="_Toc462564139"/>
      <w:r>
        <w:rPr>
          <w:rFonts w:hint="eastAsia" w:ascii="宋体" w:hAnsi="宋体" w:eastAsia="宋体" w:cs="宋体"/>
          <w:bCs/>
          <w:color w:val="auto"/>
          <w:sz w:val="24"/>
          <w:szCs w:val="24"/>
          <w:highlight w:val="none"/>
        </w:rPr>
        <w:t xml:space="preserve">以下为成交后签定本项目合同的通用条款，成交供应商不得提出实质性的修改。</w:t>
      </w:r>
      <w:r/>
    </w:p>
    <w:p>
      <w:pPr>
        <w:jc w:val="center"/>
        <w:pageBreakBefore w:val="0"/>
        <w:spacing w:before="145" w:after="145"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bookmarkEnd w:id="157"/>
      <w:bookmarkEnd w:id="158"/>
      <w:bookmarkEnd w:id="159"/>
      <w:r/>
    </w:p>
    <w:p>
      <w:pPr>
        <w:jc w:val="center"/>
        <w:rPr>
          <w:rFonts w:ascii="Times New Roman" w:hAnsi="Times New Roman" w:eastAsia="仿宋_GB2312"/>
          <w:color w:val="auto"/>
          <w:sz w:val="32"/>
          <w:szCs w:val="24"/>
          <w:highlight w:val="none"/>
        </w:rPr>
      </w:pPr>
      <w:r>
        <w:rPr>
          <w:rFonts w:hint="eastAsia" w:eastAsia="仿宋_GB2312"/>
          <w:color w:val="auto"/>
          <w:sz w:val="32"/>
          <w:szCs w:val="24"/>
          <w:highlight w:val="none"/>
          <w:lang w:eastAsia="zh-CN"/>
        </w:rPr>
        <w:t xml:space="preserve">(</w:t>
      </w:r>
      <w:r>
        <w:rPr>
          <w:rFonts w:hint="eastAsia" w:ascii="Times New Roman" w:hAnsi="Times New Roman" w:eastAsia="仿宋_GB2312"/>
          <w:color w:val="auto"/>
          <w:sz w:val="32"/>
          <w:szCs w:val="24"/>
          <w:highlight w:val="none"/>
        </w:rPr>
        <w:t xml:space="preserve">GF—2017</w:t>
      </w:r>
      <w:r>
        <w:rPr>
          <w:rFonts w:ascii="Times New Roman" w:hAnsi="Times New Roman" w:eastAsia="仿宋_GB2312"/>
          <w:color w:val="auto"/>
          <w:sz w:val="32"/>
          <w:szCs w:val="24"/>
          <w:highlight w:val="none"/>
        </w:rPr>
        <w:t xml:space="preserve">—</w:t>
      </w:r>
      <w:r>
        <w:rPr>
          <w:rFonts w:hint="eastAsia" w:ascii="Times New Roman" w:hAnsi="Times New Roman" w:eastAsia="仿宋_GB2312"/>
          <w:color w:val="auto"/>
          <w:sz w:val="32"/>
          <w:szCs w:val="24"/>
          <w:highlight w:val="none"/>
        </w:rPr>
        <w:t xml:space="preserve">0201</w:t>
      </w:r>
      <w:r>
        <w:rPr>
          <w:rFonts w:hint="eastAsia" w:eastAsia="仿宋_GB2312"/>
          <w:color w:val="auto"/>
          <w:sz w:val="32"/>
          <w:szCs w:val="24"/>
          <w:highlight w:val="none"/>
          <w:lang w:eastAsia="zh-CN"/>
        </w:rPr>
        <w:t xml:space="preserve">)</w:t>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rPr>
          <w:rFonts w:ascii="Times New Roman" w:hAnsi="Times New Roman" w:eastAsia="华文中宋"/>
          <w:b/>
          <w:color w:val="auto"/>
          <w:sz w:val="72"/>
          <w:szCs w:val="24"/>
          <w:highlight w:val="none"/>
        </w:rPr>
      </w:pPr>
      <w:r>
        <w:rPr>
          <w:rFonts w:hint="eastAsia" w:ascii="Times New Roman" w:hAnsi="Times New Roman" w:eastAsia="华文中宋"/>
          <w:b/>
          <w:color w:val="auto"/>
          <w:sz w:val="72"/>
          <w:szCs w:val="24"/>
          <w:highlight w:val="none"/>
        </w:rPr>
        <w:t xml:space="preserve">建设工程施工合同</w:t>
      </w:r>
      <w:r/>
    </w:p>
    <w:p>
      <w:pPr>
        <w:jc w:val="center"/>
        <w:rPr>
          <w:rFonts w:ascii="Times New Roman" w:hAnsi="Times New Roman" w:eastAsia="华文中宋"/>
          <w:b/>
          <w:color w:val="auto"/>
          <w:sz w:val="52"/>
          <w:szCs w:val="24"/>
          <w:highlight w:val="none"/>
        </w:rPr>
      </w:pPr>
      <w:r>
        <w:rPr>
          <w:rFonts w:hint="eastAsia" w:ascii="Times New Roman" w:hAnsi="Times New Roman" w:eastAsia="华文中宋"/>
          <w:b/>
          <w:color w:val="auto"/>
          <w:sz w:val="52"/>
          <w:szCs w:val="24"/>
          <w:highlight w:val="none"/>
        </w:rPr>
        <w:t xml:space="preserve">（示范文本）</w:t>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ind w:right="2719" w:firstLine="2750"/>
        <w:jc w:val="both"/>
        <w:rPr>
          <w:rFonts w:hint="eastAsia" w:eastAsia="宋体"/>
          <w:b/>
          <w:color w:val="auto"/>
          <w:sz w:val="32"/>
          <w:szCs w:val="24"/>
          <w:highlight w:val="none"/>
        </w:rPr>
      </w:pPr>
      <w:r>
        <w:rPr>
          <w:rFonts w:hint="eastAsia" w:eastAsia="宋体"/>
          <w:b/>
          <w:color w:val="auto"/>
          <w:sz w:val="32"/>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3980180</wp:posOffset>
                </wp:positionH>
                <wp:positionV relativeFrom="paragraph">
                  <wp:posOffset>141605</wp:posOffset>
                </wp:positionV>
                <wp:extent cx="723900" cy="457200"/>
                <wp:effectExtent l="4445" t="4445" r="14604" b="14604"/>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sz w:val="32"/>
                                <w:szCs w:val="24"/>
                              </w:rPr>
                            </w:pPr>
                            <w:r>
                              <w:rPr>
                                <w:rFonts w:hint="eastAsia" w:eastAsia="宋体"/>
                                <w:b/>
                                <w:sz w:val="32"/>
                                <w:szCs w:val="24"/>
                              </w:rPr>
                              <w:t xml:space="preserve">制定</w:t>
                            </w:r>
                            <w:r/>
                          </w:p>
                          <w:p>
                            <w:r/>
                            <w:r/>
                          </w:p>
                        </w:txbxContent>
                      </wps:txbx>
                      <wps:bodyPr wrap="square" upright="1"/>
                    </wps:wsp>
                  </a:graphicData>
                </a:graphic>
              </wp:anchor>
            </w:drawing>
          </mc:Choice>
          <mc:Fallback>
            <w:pict>
              <v:shape id="shape 9" o:spid="_x0000_s9" o:spt="202" type="#_x0000_t202" style="position:absolute;z-index:251663360;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v:textbox inset="0,0,0,0">
                  <w:txbxContent>
                    <w:p>
                      <w:pPr>
                        <w:rPr>
                          <w:b/>
                          <w:sz w:val="32"/>
                          <w:szCs w:val="24"/>
                        </w:rPr>
                      </w:pPr>
                      <w:r>
                        <w:rPr>
                          <w:rFonts w:hint="eastAsia" w:eastAsia="宋体"/>
                          <w:b/>
                          <w:sz w:val="32"/>
                          <w:szCs w:val="24"/>
                        </w:rPr>
                        <w:t xml:space="preserve">制定</w:t>
                      </w:r>
                      <w:r/>
                    </w:p>
                    <w:p>
                      <w:r/>
                      <w:r/>
                    </w:p>
                  </w:txbxContent>
                </v:textbox>
              </v:shape>
            </w:pict>
          </mc:Fallback>
        </mc:AlternateContent>
      </w:r>
      <w:r>
        <w:rPr>
          <w:rFonts w:hint="eastAsia" w:eastAsia="宋体"/>
          <w:b/>
          <w:color w:val="auto"/>
          <w:sz w:val="32"/>
          <w:szCs w:val="24"/>
          <w:highlight w:val="none"/>
          <w:lang w:eastAsia="zh-CN"/>
        </w:rPr>
        <w:t xml:space="preserve">住房和城乡建设部</w:t>
      </w:r>
      <w:r/>
    </w:p>
    <w:p>
      <w:pPr>
        <w:ind w:right="2719" w:firstLine="2750"/>
        <w:jc w:val="both"/>
        <w:rPr>
          <w:b/>
          <w:color w:val="auto"/>
          <w:sz w:val="32"/>
          <w:szCs w:val="24"/>
          <w:highlight w:val="none"/>
        </w:rPr>
      </w:pPr>
      <w:r>
        <w:rPr>
          <w:rFonts w:hint="eastAsia" w:eastAsia="宋体"/>
          <w:b/>
          <w:color w:val="auto"/>
          <w:sz w:val="32"/>
          <w:szCs w:val="24"/>
          <w:highlight w:val="none"/>
        </w:rPr>
        <w:t xml:space="preserve">国家工商行政管理总局</w:t>
      </w:r>
      <w:r/>
    </w:p>
    <w:p>
      <w:pPr>
        <w:rPr>
          <w:b/>
          <w:color w:val="auto"/>
          <w:sz w:val="21"/>
          <w:szCs w:val="24"/>
          <w:highlight w:val="none"/>
        </w:rPr>
      </w:pPr>
      <w:r>
        <w:rPr>
          <w:b/>
          <w:color w:val="auto"/>
          <w:sz w:val="21"/>
          <w:szCs w:val="24"/>
          <w:highlight w:val="none"/>
        </w:rPr>
      </w:r>
      <w:r/>
    </w:p>
    <w:p>
      <w:pPr>
        <w:pStyle w:val="1139"/>
        <w:ind w:firstLine="640"/>
        <w:jc w:val="center"/>
        <w:pageBreakBefore w:val="0"/>
        <w:spacing w:line="360" w:lineRule="auto"/>
        <w:rPr>
          <w:rFonts w:hint="eastAsia" w:ascii="宋体" w:hAnsi="宋体" w:eastAsia="宋体"/>
          <w:b w:val="0"/>
          <w:color w:val="auto"/>
          <w:sz w:val="24"/>
          <w:szCs w:val="24"/>
          <w:highlight w:val="none"/>
        </w:rPr>
      </w:pPr>
      <w:r>
        <w:rPr>
          <w:b w:val="0"/>
          <w:color w:val="auto"/>
          <w:sz w:val="32"/>
          <w:szCs w:val="24"/>
          <w:highlight w:val="none"/>
        </w:rPr>
        <w:br w:type="page" w:clear="all"/>
      </w:r>
      <w:bookmarkStart w:id="165" w:name="_Toc26644"/>
      <w:r>
        <w:rPr>
          <w:rFonts w:hint="eastAsia" w:ascii="宋体" w:hAnsi="宋体" w:eastAsia="宋体"/>
          <w:color w:val="auto"/>
          <w:sz w:val="24"/>
          <w:szCs w:val="24"/>
          <w:highlight w:val="none"/>
        </w:rPr>
        <w:t xml:space="preserve">第一部分 合同协议书</w:t>
      </w:r>
      <w:bookmarkEnd w:id="165"/>
      <w:r/>
      <w:r/>
    </w:p>
    <w:p>
      <w:pPr>
        <w:ind w:firstLine="482"/>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rPr>
        <w:t xml:space="preserve">发包人（全称）：</w:t>
      </w:r>
      <w:r>
        <w:rPr>
          <w:rFonts w:hint="eastAsia" w:ascii="宋体" w:hAnsi="宋体"/>
          <w:b/>
          <w:color w:val="auto"/>
          <w:sz w:val="24"/>
          <w:szCs w:val="24"/>
          <w:highlight w:val="none"/>
          <w:u w:val="single"/>
          <w:lang w:eastAsia="zh-CN"/>
        </w:rPr>
        <w:t xml:space="preserve">南通市通州区东社镇人民政府</w:t>
      </w:r>
      <w:r>
        <w:rPr>
          <w:rFonts w:hint="eastAsia" w:ascii="宋体" w:hAnsi="宋体" w:eastAsia="宋体"/>
          <w:b/>
          <w:color w:val="auto"/>
          <w:sz w:val="24"/>
          <w:szCs w:val="24"/>
          <w:highlight w:val="none"/>
          <w:u w:val="single"/>
        </w:rPr>
        <w:t xml:space="preserve">  </w:t>
      </w:r>
      <w:r/>
    </w:p>
    <w:p>
      <w:pPr>
        <w:ind w:firstLine="482"/>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rPr>
        <w:t xml:space="preserve">承包人（全称）：</w:t>
      </w:r>
      <w:r>
        <w:rPr>
          <w:rFonts w:hint="eastAsia" w:ascii="宋体" w:hAnsi="宋体" w:eastAsia="宋体"/>
          <w:b/>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通州区2026年东社镇一事一议财政奖补项目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施工及有关事项协商一致，共同达成如下协议：</w:t>
      </w:r>
      <w:r/>
    </w:p>
    <w:p>
      <w:pPr>
        <w:pStyle w:val="1140"/>
        <w:ind w:firstLine="480"/>
        <w:pageBreakBefore w:val="0"/>
        <w:spacing w:before="120" w:after="120" w:line="360" w:lineRule="auto"/>
        <w:rPr>
          <w:rFonts w:hint="eastAsia" w:ascii="宋体" w:hAnsi="宋体"/>
          <w:color w:val="auto"/>
          <w:sz w:val="24"/>
          <w:szCs w:val="24"/>
          <w:highlight w:val="none"/>
        </w:rPr>
      </w:pPr>
      <w:r/>
      <w:bookmarkStart w:id="166" w:name="_Toc351203481"/>
      <w:r>
        <w:rPr>
          <w:rFonts w:hint="eastAsia" w:ascii="宋体" w:hAnsi="宋体"/>
          <w:b w:val="0"/>
          <w:color w:val="auto"/>
          <w:sz w:val="24"/>
          <w:szCs w:val="24"/>
          <w:highlight w:val="none"/>
        </w:rPr>
        <w:t xml:space="preserve">一、工程概况</w:t>
      </w:r>
      <w:bookmarkEnd w:id="166"/>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1.工程名称：</w:t>
      </w:r>
      <w:r>
        <w:rPr>
          <w:rFonts w:hint="eastAsia" w:ascii="宋体" w:hAnsi="宋体"/>
          <w:color w:val="auto"/>
          <w:sz w:val="24"/>
          <w:szCs w:val="24"/>
          <w:highlight w:val="none"/>
          <w:u w:val="single"/>
          <w:lang w:eastAsia="zh-CN"/>
        </w:rPr>
        <w:t xml:space="preserve">通州区2026年东社镇一事一议财政奖补项目（</w:t>
      </w:r>
      <w:r>
        <w:rPr>
          <w:rFonts w:hint="eastAsia" w:ascii="宋体" w:hAnsi="宋体"/>
          <w:color w:val="auto"/>
          <w:sz w:val="24"/>
          <w:szCs w:val="24"/>
          <w:highlight w:val="none"/>
          <w:u w:val="single"/>
          <w:lang w:val="en-US" w:eastAsia="zh-CN"/>
        </w:rPr>
        <w:t xml:space="preserve">包号</w:t>
      </w: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2.工程地点：</w:t>
      </w:r>
      <w:r>
        <w:rPr>
          <w:rFonts w:hint="eastAsia" w:ascii="宋体" w:hAnsi="宋体"/>
          <w:color w:val="auto"/>
          <w:sz w:val="24"/>
          <w:szCs w:val="24"/>
          <w:highlight w:val="none"/>
          <w:u w:val="single"/>
          <w:lang w:eastAsia="zh-CN"/>
        </w:rPr>
        <w:t xml:space="preserve">通州区东社镇</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3.工程立项批准文号：</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4.资金来源：</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上级资金+村级配套</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5.工程内容：</w:t>
      </w:r>
      <w:r>
        <w:rPr>
          <w:rFonts w:hint="eastAsia" w:ascii="宋体" w:hAnsi="宋体" w:eastAsia="宋体"/>
          <w:color w:val="auto"/>
          <w:sz w:val="24"/>
          <w:szCs w:val="24"/>
          <w:highlight w:val="none"/>
          <w:u w:val="single"/>
        </w:rPr>
        <w:t xml:space="preserve">  详见竞争性</w:t>
      </w:r>
      <w:r>
        <w:rPr>
          <w:rFonts w:hint="eastAsia" w:ascii="宋体" w:hAnsi="宋体" w:eastAsia="宋体"/>
          <w:color w:val="auto"/>
          <w:sz w:val="24"/>
          <w:szCs w:val="24"/>
          <w:highlight w:val="none"/>
          <w:u w:val="single"/>
          <w:lang w:val="en-US" w:eastAsia="zh-CN"/>
        </w:rPr>
        <w:t xml:space="preserve">磋商</w:t>
      </w:r>
      <w:r>
        <w:rPr>
          <w:rFonts w:hint="eastAsia" w:ascii="宋体" w:hAnsi="宋体" w:eastAsia="宋体"/>
          <w:color w:val="auto"/>
          <w:sz w:val="24"/>
          <w:szCs w:val="24"/>
          <w:highlight w:val="none"/>
          <w:u w:val="single"/>
        </w:rPr>
        <w:t xml:space="preserve">文件、工程量清单所含内容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群体工程应附《承包人承揽工程项目一览表》（附件1）。</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6.工程承包范围：</w:t>
      </w:r>
      <w:r/>
    </w:p>
    <w:p>
      <w:pPr>
        <w:ind w:firstLine="480"/>
        <w:pageBreakBefore w:val="0"/>
        <w:spacing w:line="360" w:lineRule="auto"/>
        <w:rPr>
          <w:rFonts w:ascii="Times New Roman" w:hAnsi="Times New Roman" w:eastAsia="幼圆"/>
          <w:color w:val="auto"/>
          <w:sz w:val="24"/>
          <w:szCs w:val="24"/>
          <w:highlight w:val="none"/>
        </w:rPr>
      </w:pPr>
      <w:r>
        <w:rPr>
          <w:rFonts w:hint="eastAsia" w:ascii="宋体" w:hAnsi="宋体" w:eastAsia="宋体"/>
          <w:color w:val="auto"/>
          <w:sz w:val="24"/>
          <w:szCs w:val="24"/>
          <w:highlight w:val="none"/>
          <w:u w:val="single"/>
        </w:rPr>
        <w:t xml:space="preserve">  竞争性</w:t>
      </w:r>
      <w:r>
        <w:rPr>
          <w:rFonts w:hint="eastAsia" w:ascii="宋体" w:hAnsi="宋体"/>
          <w:color w:val="auto"/>
          <w:sz w:val="24"/>
          <w:szCs w:val="24"/>
          <w:highlight w:val="none"/>
          <w:u w:val="single"/>
          <w:lang w:val="en-US" w:eastAsia="zh-CN"/>
        </w:rPr>
        <w:t xml:space="preserve">磋商</w:t>
      </w:r>
      <w:r>
        <w:rPr>
          <w:rFonts w:hint="eastAsia" w:ascii="宋体" w:hAnsi="宋体" w:eastAsia="宋体"/>
          <w:color w:val="auto"/>
          <w:sz w:val="24"/>
          <w:szCs w:val="24"/>
          <w:highlight w:val="none"/>
          <w:u w:val="single"/>
        </w:rPr>
        <w:t xml:space="preserve">文件、工程量清单所含内容  </w:t>
      </w:r>
      <w:r>
        <w:rPr>
          <w:rFonts w:hint="eastAsia" w:ascii="宋体" w:hAnsi="宋体" w:eastAsia="宋体"/>
          <w:color w:val="auto"/>
          <w:sz w:val="24"/>
          <w:szCs w:val="24"/>
          <w:highlight w:val="none"/>
        </w:rPr>
        <w:t xml:space="preserve">。</w:t>
      </w:r>
      <w:r/>
    </w:p>
    <w:p>
      <w:pPr>
        <w:pStyle w:val="1140"/>
        <w:ind w:firstLine="480"/>
        <w:pageBreakBefore w:val="0"/>
        <w:spacing w:before="120" w:after="120" w:line="360" w:lineRule="auto"/>
        <w:rPr>
          <w:rFonts w:hint="eastAsia" w:ascii="宋体" w:hAnsi="宋体"/>
          <w:b w:val="0"/>
          <w:color w:val="auto"/>
          <w:sz w:val="24"/>
          <w:szCs w:val="24"/>
          <w:highlight w:val="none"/>
        </w:rPr>
      </w:pPr>
      <w:r/>
      <w:bookmarkStart w:id="167" w:name="_Toc351203482"/>
      <w:r>
        <w:rPr>
          <w:rFonts w:hint="eastAsia" w:ascii="宋体" w:hAnsi="宋体"/>
          <w:b w:val="0"/>
          <w:color w:val="auto"/>
          <w:sz w:val="24"/>
          <w:szCs w:val="24"/>
          <w:highlight w:val="none"/>
        </w:rPr>
        <w:t xml:space="preserve">二、合同工期</w:t>
      </w:r>
      <w:bookmarkEnd w:id="167"/>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计划开工日期：</w:t>
      </w:r>
      <w:r>
        <w:rPr>
          <w:rFonts w:hint="eastAsia" w:ascii="宋体" w:hAnsi="宋体" w:eastAsia="宋体"/>
          <w:color w:val="auto"/>
          <w:sz w:val="24"/>
          <w:szCs w:val="24"/>
          <w:highlight w:val="none"/>
          <w:u w:val="single"/>
        </w:rPr>
        <w:t xml:space="preserve">  202</w:t>
      </w:r>
      <w:r>
        <w:rPr>
          <w:rFonts w:hint="eastAsia" w:ascii="宋体" w:hAnsi="宋体"/>
          <w:color w:val="auto"/>
          <w:sz w:val="24"/>
          <w:szCs w:val="24"/>
          <w:highlight w:val="none"/>
          <w:u w:val="single"/>
          <w:lang w:val="en-US" w:eastAsia="zh-CN"/>
        </w:rPr>
        <w:t xml:space="preserve">6</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计划竣工日期：</w:t>
      </w:r>
      <w:r>
        <w:rPr>
          <w:rFonts w:hint="eastAsia" w:ascii="宋体" w:hAnsi="宋体" w:eastAsia="宋体"/>
          <w:color w:val="auto"/>
          <w:sz w:val="24"/>
          <w:szCs w:val="24"/>
          <w:highlight w:val="none"/>
          <w:u w:val="single"/>
        </w:rPr>
        <w:t xml:space="preserve">  202</w:t>
      </w:r>
      <w:r>
        <w:rPr>
          <w:rFonts w:hint="eastAsia" w:ascii="宋体" w:hAnsi="宋体"/>
          <w:color w:val="auto"/>
          <w:sz w:val="24"/>
          <w:szCs w:val="24"/>
          <w:highlight w:val="none"/>
          <w:u w:val="single"/>
          <w:lang w:val="en-US" w:eastAsia="zh-CN"/>
        </w:rPr>
        <w:t xml:space="preserve">6</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工期总日历天数：</w:t>
      </w:r>
      <w:r>
        <w:rPr>
          <w:rFonts w:hint="eastAsia" w:ascii="宋体" w:hAnsi="宋体"/>
          <w:color w:val="auto"/>
          <w:sz w:val="24"/>
          <w:szCs w:val="24"/>
          <w:highlight w:val="none"/>
          <w:u w:val="single"/>
          <w:lang w:val="en-US" w:eastAsia="zh-CN"/>
        </w:rPr>
        <w:t xml:space="preserve">90</w:t>
      </w:r>
      <w:r>
        <w:rPr>
          <w:rFonts w:hint="eastAsia" w:ascii="宋体" w:hAnsi="宋体" w:eastAsia="宋体"/>
          <w:color w:val="auto"/>
          <w:sz w:val="24"/>
          <w:szCs w:val="24"/>
          <w:highlight w:val="none"/>
          <w:u w:val="single"/>
        </w:rPr>
        <w:t xml:space="preserve">日历天</w:t>
      </w:r>
      <w:r>
        <w:rPr>
          <w:rFonts w:hint="eastAsia" w:ascii="宋体" w:hAnsi="宋体" w:eastAsia="宋体"/>
          <w:color w:val="auto"/>
          <w:sz w:val="24"/>
          <w:szCs w:val="24"/>
          <w:highlight w:val="none"/>
        </w:rPr>
        <w:t xml:space="preserve">。工期总日历天数与根据前述计划开竣工日期计算的工期天数不一致的，以工期总日历天数为准。</w:t>
      </w:r>
      <w:r/>
    </w:p>
    <w:p>
      <w:pPr>
        <w:pStyle w:val="1140"/>
        <w:ind w:firstLine="480"/>
        <w:pageBreakBefore w:val="0"/>
        <w:spacing w:before="120" w:after="120" w:line="360" w:lineRule="auto"/>
        <w:rPr>
          <w:rFonts w:hint="eastAsia" w:ascii="宋体" w:hAnsi="宋体"/>
          <w:color w:val="auto"/>
          <w:sz w:val="24"/>
          <w:szCs w:val="24"/>
          <w:highlight w:val="none"/>
        </w:rPr>
      </w:pPr>
      <w:r/>
      <w:bookmarkStart w:id="168" w:name="_Toc351203483"/>
      <w:r>
        <w:rPr>
          <w:rFonts w:hint="eastAsia" w:ascii="宋体" w:hAnsi="宋体"/>
          <w:b w:val="0"/>
          <w:color w:val="auto"/>
          <w:sz w:val="24"/>
          <w:szCs w:val="24"/>
          <w:highlight w:val="none"/>
        </w:rPr>
        <w:t xml:space="preserve">三、质量标准</w:t>
      </w:r>
      <w:bookmarkEnd w:id="168"/>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工程质量符合</w:t>
      </w:r>
      <w:r>
        <w:rPr>
          <w:rFonts w:hint="eastAsia" w:ascii="宋体" w:hAnsi="宋体" w:eastAsia="宋体"/>
          <w:color w:val="auto"/>
          <w:sz w:val="24"/>
          <w:szCs w:val="24"/>
          <w:highlight w:val="none"/>
          <w:u w:val="single"/>
        </w:rPr>
        <w:t xml:space="preserve">合格</w:t>
      </w:r>
      <w:r>
        <w:rPr>
          <w:rFonts w:hint="eastAsia" w:ascii="宋体" w:hAnsi="宋体" w:eastAsia="宋体"/>
          <w:color w:val="auto"/>
          <w:sz w:val="24"/>
          <w:szCs w:val="24"/>
          <w:highlight w:val="none"/>
        </w:rPr>
        <w:t xml:space="preserve">标准。</w:t>
      </w:r>
      <w:r/>
    </w:p>
    <w:p>
      <w:pPr>
        <w:pStyle w:val="1140"/>
        <w:pageBreakBefore w:val="0"/>
        <w:spacing w:before="120" w:after="120" w:line="360" w:lineRule="auto"/>
        <w:rPr>
          <w:rFonts w:hint="eastAsia" w:ascii="宋体" w:hAnsi="宋体"/>
          <w:color w:val="auto"/>
          <w:sz w:val="24"/>
          <w:szCs w:val="24"/>
          <w:highlight w:val="none"/>
        </w:rPr>
      </w:pPr>
      <w:r>
        <w:rPr>
          <w:rFonts w:hint="eastAsia" w:ascii="宋体" w:hAnsi="宋体"/>
          <w:b w:val="0"/>
          <w:color w:val="auto"/>
          <w:sz w:val="24"/>
          <w:szCs w:val="24"/>
          <w:highlight w:val="none"/>
        </w:rPr>
        <w:t xml:space="preserve"> </w:t>
      </w:r>
      <w:bookmarkStart w:id="169" w:name="_Toc351203484"/>
      <w:r>
        <w:rPr>
          <w:rFonts w:hint="eastAsia" w:ascii="宋体" w:hAnsi="宋体"/>
          <w:b w:val="0"/>
          <w:color w:val="auto"/>
          <w:sz w:val="24"/>
          <w:szCs w:val="24"/>
          <w:highlight w:val="none"/>
          <w:lang w:val="en-US" w:eastAsia="zh-CN"/>
        </w:rPr>
        <w:t xml:space="preserve">   </w:t>
      </w:r>
      <w:r>
        <w:rPr>
          <w:rFonts w:hint="eastAsia" w:ascii="宋体" w:hAnsi="宋体"/>
          <w:b w:val="0"/>
          <w:color w:val="auto"/>
          <w:sz w:val="24"/>
          <w:szCs w:val="24"/>
          <w:highlight w:val="none"/>
        </w:rPr>
        <w:t xml:space="preserve">四、签约合同价与合同价格形式</w:t>
      </w:r>
      <w:bookmarkEnd w:id="169"/>
      <w:r>
        <w:rPr>
          <w:rFonts w:hint="eastAsia" w:ascii="宋体" w:hAnsi="宋体"/>
          <w:b w:val="0"/>
          <w:color w:val="auto"/>
          <w:sz w:val="24"/>
          <w:szCs w:val="24"/>
          <w:highlight w:val="none"/>
        </w:rPr>
        <w:tab/>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1.签约合同价为：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其中：</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（1）安全文明施工费：</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（2）材料和工程设备暂估价金额：</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（3）专业工程暂估价金额：</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（4）暂列金额：</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numPr>
          <w:ilvl w:val="0"/>
          <w:numId w:val="7"/>
        </w:numPr>
        <w:ind w:firstLine="480"/>
        <w:pageBreakBefore w:val="0"/>
        <w:spacing w:line="360" w:lineRule="auto"/>
        <w:rPr>
          <w:color w:val="auto"/>
          <w:sz w:val="24"/>
          <w:szCs w:val="24"/>
          <w:highlight w:val="none"/>
          <w:lang w:val="en-US"/>
        </w:rPr>
      </w:pPr>
      <w:r>
        <w:rPr>
          <w:rFonts w:hint="eastAsia" w:ascii="宋体" w:hAnsi="宋体" w:eastAsia="宋体"/>
          <w:color w:val="auto"/>
          <w:sz w:val="24"/>
          <w:szCs w:val="24"/>
          <w:highlight w:val="none"/>
        </w:rPr>
        <w:t xml:space="preserve">合同价格形式：</w:t>
      </w:r>
      <w:r>
        <w:rPr>
          <w:rFonts w:hint="eastAsia" w:ascii="宋体" w:hAnsi="宋体" w:eastAsia="宋体"/>
          <w:color w:val="auto"/>
          <w:sz w:val="24"/>
          <w:szCs w:val="24"/>
          <w:highlight w:val="none"/>
          <w:u w:val="single"/>
        </w:rPr>
        <w:t xml:space="preserve">固定单价合同</w:t>
      </w:r>
      <w:r>
        <w:rPr>
          <w:rFonts w:hint="eastAsia" w:ascii="宋体" w:hAnsi="宋体" w:eastAsia="宋体"/>
          <w:color w:val="auto"/>
          <w:sz w:val="24"/>
          <w:szCs w:val="24"/>
          <w:highlight w:val="none"/>
        </w:rPr>
        <w:t xml:space="preserve">。</w:t>
      </w:r>
      <w:r/>
    </w:p>
    <w:p>
      <w:pPr>
        <w:pStyle w:val="1140"/>
        <w:ind w:firstLine="480"/>
        <w:pageBreakBefore w:val="0"/>
        <w:spacing w:before="120" w:after="120" w:line="360" w:lineRule="auto"/>
        <w:rPr>
          <w:rFonts w:hint="eastAsia" w:ascii="宋体" w:hAnsi="宋体"/>
          <w:b w:val="0"/>
          <w:color w:val="auto"/>
          <w:sz w:val="24"/>
          <w:szCs w:val="24"/>
          <w:highlight w:val="none"/>
        </w:rPr>
      </w:pPr>
      <w:r/>
      <w:bookmarkStart w:id="170" w:name="_Toc351203485"/>
      <w:r>
        <w:rPr>
          <w:rFonts w:hint="eastAsia" w:ascii="宋体" w:hAnsi="宋体"/>
          <w:b w:val="0"/>
          <w:color w:val="auto"/>
          <w:sz w:val="24"/>
          <w:szCs w:val="24"/>
          <w:highlight w:val="none"/>
        </w:rPr>
        <w:t xml:space="preserve">五、</w:t>
      </w:r>
      <w:bookmarkEnd w:id="170"/>
      <w:r>
        <w:rPr>
          <w:rFonts w:hint="eastAsia" w:ascii="宋体" w:hAnsi="宋体"/>
          <w:b w:val="0"/>
          <w:color w:val="auto"/>
          <w:sz w:val="24"/>
          <w:szCs w:val="24"/>
          <w:highlight w:val="none"/>
        </w:rPr>
        <w:t xml:space="preserve">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承包人项目经理：</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40"/>
        <w:ind w:firstLine="480"/>
        <w:pageBreakBefore w:val="0"/>
        <w:spacing w:before="120" w:after="120" w:line="360" w:lineRule="auto"/>
        <w:rPr>
          <w:rFonts w:hint="eastAsia" w:ascii="宋体" w:hAnsi="宋体"/>
          <w:color w:val="auto"/>
          <w:sz w:val="24"/>
          <w:szCs w:val="24"/>
          <w:highlight w:val="none"/>
        </w:rPr>
      </w:pPr>
      <w:r/>
      <w:bookmarkStart w:id="171" w:name="_Toc351203486"/>
      <w:r>
        <w:rPr>
          <w:rFonts w:hint="eastAsia" w:ascii="宋体" w:hAnsi="宋体"/>
          <w:b w:val="0"/>
          <w:color w:val="auto"/>
          <w:sz w:val="24"/>
          <w:szCs w:val="24"/>
          <w:highlight w:val="none"/>
        </w:rPr>
        <w:t xml:space="preserve">六、合同文件构成</w:t>
      </w:r>
      <w:bookmarkEnd w:id="171"/>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本协议书与下列文件一起构成合同文件：</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lang w:eastAsia="zh-CN"/>
        </w:rPr>
        <w:t xml:space="preserve">通知书</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（2）投标书及其附录</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 </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w:t>
      </w:r>
      <w:r>
        <w:rPr>
          <w:rFonts w:hint="eastAsia" w:ascii="宋体" w:hAnsi="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lang w:eastAsia="zh-CN"/>
        </w:rPr>
        <w:t xml:space="preserve">文件及补充文件；</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）合同协议书；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）专用合同条款及其附件</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）通用合同条款；</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ascii="宋体" w:hAnsi="宋体" w:eastAsia="宋体" w:cs="宋体"/>
          <w:color w:val="auto"/>
          <w:sz w:val="24"/>
          <w:highlight w:val="none"/>
        </w:rPr>
        <w:t xml:space="preserve">标准、规范及有关技术文件</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）图纸</w:t>
      </w:r>
      <w:r>
        <w:rPr>
          <w:rFonts w:hint="eastAsia" w:ascii="宋体" w:hAnsi="宋体" w:eastAsia="宋体"/>
          <w:color w:val="auto"/>
          <w:sz w:val="24"/>
          <w:szCs w:val="24"/>
          <w:highlight w:val="none"/>
          <w:lang w:eastAsia="zh-CN"/>
        </w:rPr>
        <w:t xml:space="preserve">（如有）</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）已标价工程量清单或预算书；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）其他合同文件。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在合同订立及履行过程中形成的与合同有关的文件均构成合同文件组成部分。</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140"/>
        <w:ind w:firstLine="480"/>
        <w:pageBreakBefore w:val="0"/>
        <w:spacing w:before="120" w:after="120" w:line="360" w:lineRule="auto"/>
        <w:rPr>
          <w:rFonts w:hint="eastAsia" w:ascii="宋体" w:hAnsi="宋体"/>
          <w:b w:val="0"/>
          <w:color w:val="auto"/>
          <w:sz w:val="24"/>
          <w:szCs w:val="24"/>
          <w:highlight w:val="none"/>
        </w:rPr>
      </w:pPr>
      <w:r/>
      <w:bookmarkStart w:id="172" w:name="_Toc351203487"/>
      <w:r>
        <w:rPr>
          <w:rFonts w:hint="eastAsia" w:ascii="宋体" w:hAnsi="宋体"/>
          <w:b w:val="0"/>
          <w:color w:val="auto"/>
          <w:sz w:val="24"/>
          <w:szCs w:val="24"/>
          <w:highlight w:val="none"/>
        </w:rPr>
        <w:t xml:space="preserve">七、承诺</w:t>
      </w:r>
      <w:bookmarkEnd w:id="172"/>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1.发包人承诺按照法律规定履行项目审批手续、筹集工程建设资金并按照合同约定的期限和方式支付合同价款。</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3.发包人和承包人通过招投标形式签订合同的，双方理解并承诺不再就同一工程另行签订与合同实质性内容相背离的协议。</w:t>
      </w:r>
      <w:r/>
    </w:p>
    <w:p>
      <w:pPr>
        <w:ind w:firstLine="482"/>
        <w:pageBreakBefore w:val="0"/>
        <w:spacing w:line="360" w:lineRule="auto"/>
        <w:rPr>
          <w:rFonts w:hint="eastAsia" w:ascii="宋体" w:hAnsi="宋体" w:eastAsia="宋体"/>
          <w:color w:val="auto"/>
          <w:sz w:val="24"/>
          <w:szCs w:val="24"/>
          <w:highlight w:val="none"/>
        </w:rPr>
      </w:pPr>
      <w:r/>
      <w:bookmarkStart w:id="173" w:name="_Toc351203488"/>
      <w:r>
        <w:rPr>
          <w:rFonts w:hint="eastAsia" w:ascii="宋体" w:hAnsi="宋体" w:eastAsia="宋体"/>
          <w:b/>
          <w:color w:val="auto"/>
          <w:sz w:val="24"/>
          <w:szCs w:val="24"/>
          <w:highlight w:val="none"/>
        </w:rPr>
        <w:t xml:space="preserve">八、词语含义</w:t>
      </w:r>
      <w:bookmarkEnd w:id="17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本协议书中词语含义与第二部分通用合同条款中赋予的含义相同。</w:t>
      </w:r>
      <w:r/>
    </w:p>
    <w:p>
      <w:pPr>
        <w:pStyle w:val="1140"/>
        <w:ind w:firstLine="480"/>
        <w:pageBreakBefore w:val="0"/>
        <w:spacing w:before="120" w:after="120" w:line="360" w:lineRule="auto"/>
        <w:rPr>
          <w:rFonts w:hint="eastAsia" w:ascii="宋体" w:hAnsi="宋体"/>
          <w:color w:val="auto"/>
          <w:sz w:val="24"/>
          <w:szCs w:val="24"/>
          <w:highlight w:val="none"/>
        </w:rPr>
      </w:pPr>
      <w:r/>
      <w:bookmarkStart w:id="174" w:name="_Toc351203489"/>
      <w:r>
        <w:rPr>
          <w:rFonts w:hint="eastAsia" w:ascii="宋体" w:hAnsi="宋体"/>
          <w:b w:val="0"/>
          <w:color w:val="auto"/>
          <w:sz w:val="24"/>
          <w:szCs w:val="24"/>
          <w:highlight w:val="none"/>
        </w:rPr>
        <w:t xml:space="preserve">九、签订时间</w:t>
      </w:r>
      <w:bookmarkEnd w:id="17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本合同于</w:t>
      </w:r>
      <w:r>
        <w:rPr>
          <w:rFonts w:hint="eastAsia" w:ascii="宋体" w:hAnsi="宋体"/>
          <w:color w:val="auto"/>
          <w:sz w:val="24"/>
          <w:szCs w:val="24"/>
          <w:highlight w:val="none"/>
          <w:u w:val="single"/>
          <w:lang w:val="en-US" w:eastAsia="zh-CN"/>
        </w:rPr>
        <w:t xml:space="preserve">2026</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日签订。</w:t>
      </w:r>
      <w:r/>
    </w:p>
    <w:p>
      <w:pPr>
        <w:pStyle w:val="1140"/>
        <w:ind w:firstLine="480"/>
        <w:pageBreakBefore w:val="0"/>
        <w:spacing w:before="120" w:after="120" w:line="360" w:lineRule="auto"/>
        <w:rPr>
          <w:rFonts w:hint="eastAsia" w:ascii="宋体" w:hAnsi="宋体"/>
          <w:color w:val="auto"/>
          <w:sz w:val="24"/>
          <w:szCs w:val="24"/>
          <w:highlight w:val="none"/>
        </w:rPr>
      </w:pPr>
      <w:r/>
      <w:bookmarkStart w:id="175" w:name="_Toc351203490"/>
      <w:r>
        <w:rPr>
          <w:rFonts w:hint="eastAsia" w:ascii="宋体" w:hAnsi="宋体"/>
          <w:b w:val="0"/>
          <w:color w:val="auto"/>
          <w:sz w:val="24"/>
          <w:szCs w:val="24"/>
          <w:highlight w:val="none"/>
        </w:rPr>
        <w:t xml:space="preserve">十、签订地点</w:t>
      </w:r>
      <w:bookmarkEnd w:id="175"/>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本合同在</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签订。</w:t>
      </w:r>
      <w:r/>
    </w:p>
    <w:p>
      <w:pPr>
        <w:pStyle w:val="1140"/>
        <w:ind w:firstLine="480"/>
        <w:pageBreakBefore w:val="0"/>
        <w:spacing w:before="120" w:after="120" w:line="360" w:lineRule="auto"/>
        <w:rPr>
          <w:rFonts w:hint="eastAsia" w:ascii="宋体" w:hAnsi="宋体"/>
          <w:color w:val="auto"/>
          <w:sz w:val="24"/>
          <w:szCs w:val="24"/>
          <w:highlight w:val="none"/>
        </w:rPr>
      </w:pPr>
      <w:r/>
      <w:bookmarkStart w:id="176" w:name="_Toc351203491"/>
      <w:r>
        <w:rPr>
          <w:rFonts w:hint="eastAsia" w:ascii="宋体" w:hAnsi="宋体"/>
          <w:b w:val="0"/>
          <w:color w:val="auto"/>
          <w:sz w:val="24"/>
          <w:szCs w:val="24"/>
          <w:highlight w:val="none"/>
        </w:rPr>
        <w:t xml:space="preserve">十一、补充协议</w:t>
      </w:r>
      <w:bookmarkEnd w:id="176"/>
      <w:r/>
      <w:r/>
    </w:p>
    <w:p>
      <w:pPr>
        <w:ind w:firstLine="480"/>
        <w:pageBreakBefore w:val="0"/>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合同未尽事宜，合同当事人另行签订补充协议，补充协议是合同的组成部分。</w:t>
      </w:r>
      <w:r/>
    </w:p>
    <w:p>
      <w:pPr>
        <w:pStyle w:val="1140"/>
        <w:ind w:firstLine="480"/>
        <w:pageBreakBefore w:val="0"/>
        <w:spacing w:before="120" w:after="120" w:line="360" w:lineRule="auto"/>
        <w:rPr>
          <w:rFonts w:hint="eastAsia" w:ascii="宋体" w:hAnsi="宋体"/>
          <w:color w:val="auto"/>
          <w:sz w:val="24"/>
          <w:szCs w:val="24"/>
          <w:highlight w:val="none"/>
        </w:rPr>
      </w:pPr>
      <w:r/>
      <w:bookmarkStart w:id="177" w:name="_Toc351203492"/>
      <w:r>
        <w:rPr>
          <w:rFonts w:hint="eastAsia" w:ascii="宋体" w:hAnsi="宋体"/>
          <w:b w:val="0"/>
          <w:color w:val="auto"/>
          <w:sz w:val="24"/>
          <w:szCs w:val="24"/>
          <w:highlight w:val="none"/>
        </w:rPr>
        <w:t xml:space="preserve">十二、合同生效</w:t>
      </w:r>
      <w:bookmarkEnd w:id="177"/>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本合同自</w:t>
      </w:r>
      <w:r>
        <w:rPr>
          <w:rFonts w:hint="eastAsia" w:ascii="宋体" w:hAnsi="宋体" w:eastAsia="宋体"/>
          <w:color w:val="auto"/>
          <w:sz w:val="24"/>
          <w:szCs w:val="24"/>
          <w:highlight w:val="none"/>
          <w:u w:val="single"/>
        </w:rPr>
        <w:t xml:space="preserve">双方法定代表人或委托代表人签字并</w:t>
      </w:r>
      <w:r>
        <w:rPr>
          <w:rFonts w:hint="eastAsia" w:ascii="宋体" w:hAnsi="宋体" w:eastAsia="宋体"/>
          <w:color w:val="auto"/>
          <w:sz w:val="24"/>
          <w:szCs w:val="24"/>
          <w:highlight w:val="none"/>
          <w:u w:val="single"/>
          <w:lang w:eastAsia="zh-CN"/>
        </w:rPr>
        <w:t xml:space="preserve">加盖</w:t>
      </w:r>
      <w:r>
        <w:rPr>
          <w:rFonts w:hint="eastAsia" w:ascii="宋体" w:hAnsi="宋体" w:eastAsia="宋体"/>
          <w:color w:val="auto"/>
          <w:sz w:val="24"/>
          <w:szCs w:val="24"/>
          <w:highlight w:val="none"/>
          <w:u w:val="single"/>
        </w:rPr>
        <w:t xml:space="preserve">法人公章</w:t>
      </w:r>
      <w:r>
        <w:rPr>
          <w:rFonts w:hint="eastAsia" w:ascii="宋体" w:hAnsi="宋体" w:eastAsia="宋体"/>
          <w:color w:val="auto"/>
          <w:sz w:val="24"/>
          <w:szCs w:val="24"/>
          <w:highlight w:val="none"/>
        </w:rPr>
        <w:t xml:space="preserve">生效。</w:t>
      </w:r>
      <w:r/>
    </w:p>
    <w:p>
      <w:pPr>
        <w:pStyle w:val="1140"/>
        <w:ind w:firstLine="480"/>
        <w:pageBreakBefore w:val="0"/>
        <w:spacing w:before="120" w:after="120" w:line="360" w:lineRule="auto"/>
        <w:rPr>
          <w:rFonts w:hint="eastAsia" w:ascii="宋体" w:hAnsi="宋体"/>
          <w:color w:val="auto"/>
          <w:sz w:val="24"/>
          <w:szCs w:val="24"/>
          <w:highlight w:val="none"/>
        </w:rPr>
      </w:pPr>
      <w:r/>
      <w:bookmarkStart w:id="178" w:name="_Toc351203493"/>
      <w:r>
        <w:rPr>
          <w:rFonts w:hint="eastAsia" w:ascii="宋体" w:hAnsi="宋体"/>
          <w:b w:val="0"/>
          <w:color w:val="auto"/>
          <w:sz w:val="24"/>
          <w:szCs w:val="24"/>
          <w:highlight w:val="none"/>
        </w:rPr>
        <w:t xml:space="preserve">十三、合同份数</w:t>
      </w:r>
      <w:bookmarkEnd w:id="178"/>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本合同一式</w:t>
      </w:r>
      <w:r>
        <w:rPr>
          <w:rFonts w:hint="eastAsia" w:ascii="宋体" w:hAnsi="宋体" w:eastAsia="宋体"/>
          <w:color w:val="auto"/>
          <w:sz w:val="24"/>
          <w:szCs w:val="24"/>
          <w:highlight w:val="none"/>
          <w:u w:val="single"/>
        </w:rPr>
        <w:t xml:space="preserve">捌</w:t>
      </w:r>
      <w:r>
        <w:rPr>
          <w:rFonts w:hint="eastAsia" w:ascii="宋体" w:hAnsi="宋体" w:eastAsia="宋体"/>
          <w:color w:val="auto"/>
          <w:sz w:val="24"/>
          <w:szCs w:val="24"/>
          <w:highlight w:val="none"/>
        </w:rPr>
        <w:t xml:space="preserve">份，均具有同等法律效力，发包人执</w:t>
      </w:r>
      <w:r>
        <w:rPr>
          <w:rFonts w:hint="eastAsia" w:ascii="宋体" w:hAnsi="宋体" w:eastAsia="宋体"/>
          <w:color w:val="auto"/>
          <w:sz w:val="24"/>
          <w:szCs w:val="24"/>
          <w:highlight w:val="none"/>
          <w:u w:val="single"/>
        </w:rPr>
        <w:t xml:space="preserve">肆</w:t>
      </w:r>
      <w:r>
        <w:rPr>
          <w:rFonts w:hint="eastAsia" w:ascii="宋体" w:hAnsi="宋体" w:eastAsia="宋体"/>
          <w:color w:val="auto"/>
          <w:sz w:val="24"/>
          <w:szCs w:val="24"/>
          <w:highlight w:val="none"/>
        </w:rPr>
        <w:t xml:space="preserve">份，承包人执</w:t>
      </w:r>
      <w:r>
        <w:rPr>
          <w:rFonts w:hint="eastAsia" w:ascii="宋体" w:hAnsi="宋体" w:eastAsia="宋体"/>
          <w:color w:val="auto"/>
          <w:sz w:val="24"/>
          <w:szCs w:val="24"/>
          <w:highlight w:val="none"/>
          <w:u w:val="single"/>
        </w:rPr>
        <w:t xml:space="preserve">肆</w:t>
      </w:r>
      <w:r>
        <w:rPr>
          <w:rFonts w:hint="eastAsia" w:ascii="宋体" w:hAnsi="宋体" w:eastAsia="宋体"/>
          <w:color w:val="auto"/>
          <w:sz w:val="24"/>
          <w:szCs w:val="24"/>
          <w:highlight w:val="none"/>
        </w:rPr>
        <w:t xml:space="preserve">份。</w:t>
      </w:r>
      <w:r/>
    </w:p>
    <w:p>
      <w:pPr>
        <w:ind w:firstLine="480"/>
        <w:pageBreakBefore w:val="0"/>
        <w:spacing w:line="360" w:lineRule="auto"/>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r>
      <w:r/>
    </w:p>
    <w:p>
      <w:pPr>
        <w:ind w:firstLine="480"/>
        <w:pageBreakBefore w:val="0"/>
        <w:spacing w:line="360" w:lineRule="auto"/>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承包人：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法定代表人或其委托代理人：            法定代表人或其委托代理人：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（签字）                               （签字）</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r>
      <w:r/>
    </w:p>
    <w:p>
      <w:pPr>
        <w:ind w:firstLine="480"/>
        <w:pageBreakBefore w:val="0"/>
        <w:spacing w:line="360" w:lineRule="auto"/>
        <w:tabs>
          <w:tab w:val="left" w:pos="441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组织机构代码：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组织机构代码：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  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  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电子信箱：</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账  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r>
        <w:rPr>
          <w:rFonts w:hint="eastAsia" w:ascii="宋体" w:hAnsi="宋体" w:eastAsia="宋体"/>
          <w:color w:val="auto"/>
          <w:sz w:val="24"/>
          <w:szCs w:val="24"/>
          <w:highlight w:val="none"/>
          <w:u w:val="single"/>
        </w:rPr>
        <w:t xml:space="preserve">                    </w:t>
      </w:r>
      <w:r>
        <w:rPr>
          <w:rFonts w:hint="eastAsia" w:ascii="Times New Roman" w:hAnsi="Times New Roman" w:eastAsia="仿宋_GB2312"/>
          <w:color w:val="auto"/>
          <w:sz w:val="24"/>
          <w:szCs w:val="24"/>
          <w:highlight w:val="none"/>
          <w:u w:val="single"/>
        </w:rPr>
        <w:t xml:space="preserve"> </w:t>
      </w:r>
      <w:r>
        <w:rPr>
          <w:rFonts w:ascii="Times New Roman" w:hAnsi="Times New Roman" w:eastAsia="仿宋_GB2312"/>
          <w:color w:val="auto"/>
          <w:sz w:val="24"/>
          <w:szCs w:val="24"/>
          <w:highlight w:val="none"/>
          <w:u w:val="single"/>
        </w:rPr>
        <w:t xml:space="preserve">  </w:t>
      </w:r>
      <w:r>
        <w:rPr>
          <w:rFonts w:hint="eastAsia" w:ascii="Times New Roman" w:hAnsi="Times New Roman" w:eastAsia="仿宋_GB2312"/>
          <w:color w:val="auto"/>
          <w:sz w:val="24"/>
          <w:szCs w:val="24"/>
          <w:highlight w:val="none"/>
          <w:u w:val="single"/>
        </w:rPr>
        <w:t xml:space="preserve"> </w:t>
      </w:r>
      <w:r/>
    </w:p>
    <w:p>
      <w:pPr>
        <w:pStyle w:val="1139"/>
        <w:ind w:firstLine="482"/>
        <w:jc w:val="center"/>
        <w:pageBreakBefore w:val="0"/>
        <w:spacing w:line="360" w:lineRule="auto"/>
        <w:rPr>
          <w:rFonts w:hint="eastAsia" w:ascii="华文中宋" w:hAnsi="华文中宋" w:eastAsia="华文中宋"/>
          <w:color w:val="auto"/>
          <w:sz w:val="24"/>
          <w:szCs w:val="24"/>
          <w:highlight w:val="none"/>
        </w:rPr>
      </w:pPr>
      <w:r>
        <w:rPr>
          <w:rFonts w:ascii="Times New Roman" w:hAnsi="Times New Roman" w:eastAsia="仿宋_GB2312"/>
          <w:color w:val="auto"/>
          <w:sz w:val="24"/>
          <w:szCs w:val="24"/>
          <w:highlight w:val="none"/>
        </w:rPr>
        <w:br w:type="page" w:clear="all"/>
      </w:r>
      <w:bookmarkStart w:id="179" w:name="_Toc28167"/>
      <w:r/>
      <w:bookmarkStart w:id="180" w:name="_Toc351203494"/>
      <w:r>
        <w:rPr>
          <w:rFonts w:hint="eastAsia" w:ascii="宋体" w:hAnsi="宋体" w:eastAsia="宋体"/>
          <w:color w:val="auto"/>
          <w:sz w:val="24"/>
          <w:szCs w:val="24"/>
          <w:highlight w:val="none"/>
        </w:rPr>
        <w:t xml:space="preserve">第二部分 通用合同条款</w:t>
      </w:r>
      <w:bookmarkEnd w:id="179"/>
      <w:r/>
      <w:bookmarkEnd w:id="180"/>
      <w:r/>
      <w:bookmarkStart w:id="181" w:name="_Toc337558727"/>
      <w:r/>
      <w:bookmarkEnd w:id="181"/>
      <w:r/>
    </w:p>
    <w:p>
      <w:pPr>
        <w:ind w:firstLine="480"/>
        <w:jc w:val="center"/>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略 详见（GF—2017—0201）</w:t>
      </w:r>
      <w:bookmarkStart w:id="182" w:name="_Toc25770"/>
      <w:r/>
      <w:bookmarkStart w:id="183" w:name="_Toc351203632"/>
      <w:r/>
      <w:r/>
    </w:p>
    <w:p>
      <w:pPr>
        <w:ind w:firstLine="480"/>
        <w:jc w:val="center"/>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center"/>
        <w:pageBreakBefore w:val="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第三部分 专用合同条款</w:t>
      </w:r>
      <w:bookmarkEnd w:id="182"/>
      <w:r/>
      <w:bookmarkEnd w:id="183"/>
      <w:r/>
      <w:r/>
    </w:p>
    <w:p>
      <w:pPr>
        <w:pStyle w:val="1140"/>
        <w:ind w:firstLine="482"/>
        <w:pageBreakBefore w:val="0"/>
        <w:spacing w:before="120" w:after="120" w:line="360" w:lineRule="auto"/>
        <w:rPr>
          <w:rFonts w:hint="eastAsia" w:ascii="宋体" w:hAnsi="宋体"/>
          <w:color w:val="auto"/>
          <w:sz w:val="24"/>
          <w:szCs w:val="24"/>
          <w:highlight w:val="none"/>
        </w:rPr>
      </w:pPr>
      <w:r/>
      <w:bookmarkStart w:id="184" w:name="_Toc351203633"/>
      <w:r>
        <w:rPr>
          <w:rFonts w:hint="eastAsia" w:ascii="宋体" w:hAnsi="宋体"/>
          <w:color w:val="auto"/>
          <w:sz w:val="24"/>
          <w:szCs w:val="24"/>
          <w:highlight w:val="none"/>
        </w:rPr>
        <w:t xml:space="preserve">1</w:t>
      </w:r>
      <w:bookmarkStart w:id="185" w:name="_Toc292559866"/>
      <w:r/>
      <w:bookmarkStart w:id="186" w:name="_Toc292559361"/>
      <w:r/>
      <w:bookmarkStart w:id="187" w:name="_Toc296347155"/>
      <w:r/>
      <w:bookmarkStart w:id="188" w:name="_Toc296346657"/>
      <w:r/>
      <w:bookmarkStart w:id="189" w:name="_Toc297120456"/>
      <w:r/>
      <w:bookmarkStart w:id="190" w:name="_Toc297048342"/>
      <w:r/>
      <w:bookmarkStart w:id="191" w:name="_Toc296891196"/>
      <w:r/>
      <w:bookmarkStart w:id="192" w:name="_Toc296890984"/>
      <w:r/>
      <w:bookmarkStart w:id="193" w:name="_Toc296503156"/>
      <w:r/>
      <w:bookmarkStart w:id="194" w:name="_Toc296944495"/>
      <w:r>
        <w:rPr>
          <w:rFonts w:hint="eastAsia" w:ascii="宋体" w:hAnsi="宋体"/>
          <w:color w:val="auto"/>
          <w:sz w:val="24"/>
          <w:szCs w:val="24"/>
          <w:highlight w:val="none"/>
        </w:rPr>
        <w:t xml:space="preserve">. 一般约定</w:t>
      </w:r>
      <w:bookmarkEnd w:id="184"/>
      <w:r/>
      <w:bookmarkEnd w:id="185"/>
      <w:bookmarkEnd w:id="186"/>
      <w:bookmarkEnd w:id="187"/>
      <w:bookmarkEnd w:id="188"/>
      <w:bookmarkEnd w:id="189"/>
      <w:bookmarkEnd w:id="190"/>
      <w:bookmarkEnd w:id="191"/>
      <w:bookmarkEnd w:id="192"/>
      <w:bookmarkEnd w:id="193"/>
      <w:bookmarkEnd w:id="194"/>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5" w:name="_Toc7931"/>
      <w:r>
        <w:rPr>
          <w:rFonts w:hint="eastAsia" w:ascii="宋体" w:hAnsi="宋体" w:eastAsia="宋体"/>
          <w:b/>
          <w:color w:val="auto"/>
          <w:sz w:val="24"/>
          <w:szCs w:val="24"/>
          <w:highlight w:val="none"/>
        </w:rPr>
        <w:t xml:space="preserve">1.1 词语定义</w:t>
      </w:r>
      <w:bookmarkEnd w:id="195"/>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1.1.1合同</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1.1.1.1其他合同文件包括：</w:t>
      </w:r>
      <w:r>
        <w:rPr>
          <w:rFonts w:hint="eastAsia" w:ascii="宋体" w:hAnsi="宋体" w:eastAsia="宋体"/>
          <w:color w:val="auto"/>
          <w:sz w:val="24"/>
          <w:szCs w:val="24"/>
          <w:highlight w:val="none"/>
          <w:u w:val="single"/>
        </w:rPr>
        <w:t xml:space="preserve">经监理工程师、发包人代表签字并经发包人盖章确认的涉及工期、质量、价款调整内容的签证单、联系函、技术核定单等。</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 合同当事人及其他相关方</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监理人：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资质类别和等级：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设计人：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资质类别和等级：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 工程和设备</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作为施工现场组成部分的其他场所包括：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永久占地包括：</w:t>
      </w:r>
      <w:r>
        <w:rPr>
          <w:rFonts w:hint="eastAsia" w:ascii="宋体" w:hAnsi="宋体" w:eastAsia="宋体"/>
          <w:color w:val="auto"/>
          <w:sz w:val="24"/>
          <w:szCs w:val="24"/>
          <w:highlight w:val="none"/>
          <w:u w:val="single"/>
        </w:rPr>
        <w:t xml:space="preserve">发包人项目红线范围内的用地</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临时占地包括：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法律 </w:t>
      </w:r>
      <w:r/>
    </w:p>
    <w:p>
      <w:pPr>
        <w:ind w:firstLine="480"/>
        <w:pageBreakBefore w:val="0"/>
        <w:spacing w:after="120"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适用于合同的其他规范性文件：</w:t>
      </w:r>
      <w:r>
        <w:rPr>
          <w:rFonts w:hint="eastAsia" w:ascii="宋体" w:hAnsi="宋体" w:eastAsia="宋体"/>
          <w:color w:val="auto"/>
          <w:sz w:val="24"/>
          <w:szCs w:val="24"/>
          <w:highlight w:val="none"/>
          <w:u w:val="single"/>
        </w:rPr>
        <w:t xml:space="preserve">《中华人民共和国建筑法》《中华人民共和国民法典》《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w:t>
      </w:r>
      <w:r>
        <w:rPr>
          <w:rFonts w:hint="eastAsia" w:ascii="宋体" w:hAnsi="宋体"/>
          <w:color w:val="auto"/>
          <w:sz w:val="24"/>
          <w:szCs w:val="24"/>
          <w:highlight w:val="none"/>
          <w:u w:val="single"/>
          <w:lang w:val="en-US" w:eastAsia="zh-CN"/>
        </w:rPr>
        <w:t xml:space="preserve">例</w:t>
      </w:r>
      <w:r>
        <w:rPr>
          <w:rFonts w:hint="eastAsia" w:ascii="宋体" w:hAnsi="宋体" w:eastAsia="宋体"/>
          <w:color w:val="auto"/>
          <w:sz w:val="24"/>
          <w:szCs w:val="24"/>
          <w:highlight w:val="none"/>
          <w:u w:val="single"/>
        </w:rPr>
        <w:t xml:space="preserve">》《江苏省建筑市场管理条例》等。</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 标准和规范</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.1适用于工程的标准规范包括：</w:t>
      </w:r>
      <w:r>
        <w:rPr>
          <w:rFonts w:hint="eastAsia" w:ascii="宋体" w:hAnsi="宋体" w:eastAsia="宋体"/>
          <w:color w:val="auto"/>
          <w:sz w:val="24"/>
          <w:szCs w:val="24"/>
          <w:highlight w:val="none"/>
          <w:u w:val="single"/>
        </w:rPr>
        <w:t xml:space="preserve">现行建筑工程相关的规范、规程、标准、规定、图集等</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196" w:name="_Toc21365"/>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.2 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bookmarkEnd w:id="19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发包人提供国外标准、规范的份数：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.3发包人对工程的技术标准和功能要求的特殊要求：</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7" w:name="_Toc25091"/>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合同文件的优先顺序</w:t>
      </w:r>
      <w:bookmarkEnd w:id="197"/>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合同文件组成及优先顺序为：</w:t>
      </w:r>
      <w:r>
        <w:rPr>
          <w:rFonts w:hint="eastAsia" w:ascii="宋体" w:hAnsi="宋体" w:eastAsia="宋体"/>
          <w:color w:val="auto"/>
          <w:sz w:val="24"/>
          <w:szCs w:val="24"/>
          <w:highlight w:val="none"/>
          <w:u w:val="single"/>
        </w:rPr>
        <w:t xml:space="preserve">（1）合同协议书；（2）</w:t>
      </w:r>
      <w:r>
        <w:rPr>
          <w:rFonts w:hint="eastAsia" w:ascii="宋体" w:hAnsi="宋体" w:eastAsia="宋体"/>
          <w:color w:val="auto"/>
          <w:sz w:val="24"/>
          <w:szCs w:val="24"/>
          <w:highlight w:val="none"/>
          <w:u w:val="single"/>
          <w:lang w:val="en-US" w:eastAsia="zh-CN"/>
        </w:rPr>
        <w:t xml:space="preserve">成交</w:t>
      </w:r>
      <w:r>
        <w:rPr>
          <w:rFonts w:hint="eastAsia" w:ascii="宋体" w:hAnsi="宋体" w:eastAsia="宋体"/>
          <w:color w:val="auto"/>
          <w:sz w:val="24"/>
          <w:szCs w:val="24"/>
          <w:highlight w:val="none"/>
          <w:u w:val="single"/>
        </w:rPr>
        <w:t xml:space="preserve">通知书</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；（3）专用合同条款及其附件；（</w:t>
      </w:r>
      <w:r>
        <w:rPr>
          <w:rFonts w:hint="eastAsia" w:ascii="宋体" w:hAnsi="宋体" w:eastAsia="宋体"/>
          <w:color w:val="auto"/>
          <w:sz w:val="24"/>
          <w:szCs w:val="24"/>
          <w:highlight w:val="none"/>
          <w:u w:val="single"/>
          <w:lang w:val="en-US" w:eastAsia="zh-CN"/>
        </w:rPr>
        <w:t xml:space="preserve">4</w:t>
      </w:r>
      <w:r>
        <w:rPr>
          <w:rFonts w:hint="eastAsia" w:ascii="宋体" w:hAnsi="宋体" w:eastAsia="宋体"/>
          <w:color w:val="auto"/>
          <w:sz w:val="24"/>
          <w:szCs w:val="24"/>
          <w:highlight w:val="none"/>
          <w:u w:val="single"/>
        </w:rPr>
        <w:t xml:space="preserve">）通用合同条款；</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lang w:val="en-US" w:eastAsia="zh-CN"/>
        </w:rPr>
        <w:t xml:space="preserve">5</w:t>
      </w:r>
      <w:r>
        <w:rPr>
          <w:rFonts w:hint="eastAsia" w:ascii="宋体" w:hAnsi="宋体" w:eastAsia="宋体"/>
          <w:color w:val="auto"/>
          <w:sz w:val="24"/>
          <w:szCs w:val="24"/>
          <w:highlight w:val="none"/>
          <w:u w:val="single"/>
          <w:lang w:eastAsia="zh-CN"/>
        </w:rPr>
        <w:t xml:space="preserve">）</w:t>
      </w:r>
      <w:r>
        <w:rPr>
          <w:rFonts w:hint="eastAsia" w:ascii="宋体" w:hAnsi="宋体" w:cs="宋体"/>
          <w:color w:val="auto"/>
          <w:sz w:val="24"/>
          <w:highlight w:val="none"/>
          <w:u w:val="single"/>
          <w:lang w:val="en-US" w:eastAsia="zh-CN"/>
        </w:rPr>
        <w:t xml:space="preserve">磋商</w:t>
      </w:r>
      <w:r>
        <w:rPr>
          <w:rFonts w:ascii="宋体" w:hAnsi="宋体" w:eastAsia="宋体" w:cs="宋体"/>
          <w:color w:val="auto"/>
          <w:sz w:val="24"/>
          <w:highlight w:val="none"/>
          <w:u w:val="single"/>
        </w:rPr>
        <w:t xml:space="preserve">文件及其补充文件</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eastAsia="zh-CN"/>
        </w:rPr>
        <w:t xml:space="preserve">）</w:t>
      </w:r>
      <w:r>
        <w:rPr>
          <w:rFonts w:hint="eastAsia" w:ascii="宋体" w:hAnsi="宋体" w:eastAsia="宋体"/>
          <w:color w:val="auto"/>
          <w:sz w:val="24"/>
          <w:szCs w:val="24"/>
          <w:highlight w:val="none"/>
          <w:u w:val="single"/>
        </w:rPr>
        <w:t xml:space="preserve">投标</w:t>
      </w:r>
      <w:r>
        <w:rPr>
          <w:rFonts w:hint="eastAsia" w:ascii="宋体" w:hAnsi="宋体" w:eastAsia="宋体"/>
          <w:color w:val="auto"/>
          <w:sz w:val="24"/>
          <w:szCs w:val="24"/>
          <w:highlight w:val="none"/>
          <w:u w:val="single"/>
          <w:lang w:eastAsia="zh-CN"/>
        </w:rPr>
        <w:t xml:space="preserve">书</w:t>
      </w:r>
      <w:r>
        <w:rPr>
          <w:rFonts w:hint="eastAsia" w:ascii="宋体" w:hAnsi="宋体" w:eastAsia="宋体"/>
          <w:color w:val="auto"/>
          <w:sz w:val="24"/>
          <w:szCs w:val="24"/>
          <w:highlight w:val="none"/>
          <w:u w:val="single"/>
        </w:rPr>
        <w:t xml:space="preserve">及其附录（如果有）；（</w:t>
      </w:r>
      <w:r>
        <w:rPr>
          <w:rFonts w:hint="eastAsia" w:ascii="宋体" w:hAnsi="宋体" w:eastAsia="宋体"/>
          <w:color w:val="auto"/>
          <w:sz w:val="24"/>
          <w:szCs w:val="24"/>
          <w:highlight w:val="none"/>
          <w:u w:val="single"/>
          <w:lang w:val="en-US" w:eastAsia="zh-CN"/>
        </w:rPr>
        <w:t xml:space="preserve">7</w:t>
      </w:r>
      <w:r>
        <w:rPr>
          <w:rFonts w:hint="eastAsia" w:ascii="宋体" w:hAnsi="宋体" w:eastAsia="宋体"/>
          <w:color w:val="auto"/>
          <w:sz w:val="24"/>
          <w:szCs w:val="24"/>
          <w:highlight w:val="none"/>
          <w:u w:val="single"/>
        </w:rPr>
        <w:t xml:space="preserve">）标准、规范及有关技术文件；（</w:t>
      </w:r>
      <w:r>
        <w:rPr>
          <w:rFonts w:hint="eastAsia" w:ascii="宋体" w:hAnsi="宋体" w:eastAsia="宋体"/>
          <w:color w:val="auto"/>
          <w:sz w:val="24"/>
          <w:szCs w:val="24"/>
          <w:highlight w:val="none"/>
          <w:u w:val="single"/>
          <w:lang w:val="en-US" w:eastAsia="zh-CN"/>
        </w:rPr>
        <w:t xml:space="preserve">8</w:t>
      </w:r>
      <w:r>
        <w:rPr>
          <w:rFonts w:hint="eastAsia" w:ascii="宋体" w:hAnsi="宋体" w:eastAsia="宋体"/>
          <w:color w:val="auto"/>
          <w:sz w:val="24"/>
          <w:szCs w:val="24"/>
          <w:highlight w:val="none"/>
          <w:u w:val="single"/>
        </w:rPr>
        <w:t xml:space="preserve">）图纸</w:t>
      </w:r>
      <w:r>
        <w:rPr>
          <w:rFonts w:hint="eastAsia" w:ascii="宋体" w:hAnsi="宋体" w:eastAsia="宋体"/>
          <w:color w:val="auto"/>
          <w:sz w:val="24"/>
          <w:szCs w:val="24"/>
          <w:highlight w:val="none"/>
          <w:u w:val="single"/>
          <w:lang w:eastAsia="zh-CN"/>
        </w:rPr>
        <w:t xml:space="preserve">（如有）</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u w:val="single"/>
          <w:lang w:val="en-US" w:eastAsia="zh-CN"/>
        </w:rPr>
        <w:t xml:space="preserve">9</w:t>
      </w:r>
      <w:r>
        <w:rPr>
          <w:rFonts w:hint="eastAsia" w:ascii="宋体" w:hAnsi="宋体" w:eastAsia="宋体"/>
          <w:color w:val="auto"/>
          <w:sz w:val="24"/>
          <w:szCs w:val="24"/>
          <w:highlight w:val="none"/>
          <w:u w:val="single"/>
        </w:rPr>
        <w:t xml:space="preserve">）已标价的工程量清单或预算书；（</w:t>
      </w:r>
      <w:r>
        <w:rPr>
          <w:rFonts w:hint="eastAsia" w:ascii="宋体" w:hAnsi="宋体" w:eastAsia="宋体"/>
          <w:color w:val="auto"/>
          <w:sz w:val="24"/>
          <w:szCs w:val="24"/>
          <w:highlight w:val="none"/>
          <w:u w:val="single"/>
          <w:lang w:val="en-US" w:eastAsia="zh-CN"/>
        </w:rPr>
        <w:t xml:space="preserve">10</w:t>
      </w:r>
      <w:r>
        <w:rPr>
          <w:rFonts w:hint="eastAsia" w:ascii="宋体" w:hAnsi="宋体" w:eastAsia="宋体"/>
          <w:color w:val="auto"/>
          <w:sz w:val="24"/>
          <w:szCs w:val="24"/>
          <w:highlight w:val="none"/>
          <w:u w:val="single"/>
        </w:rPr>
        <w:t xml:space="preserve">）其他合同文件</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8" w:name="_Toc8793"/>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图纸和承包人文件</w:t>
      </w:r>
      <w:bookmarkEnd w:id="198"/>
      <w:r>
        <w:rPr>
          <w:rFonts w:hint="eastAsia" w:ascii="宋体" w:hAnsi="宋体" w:eastAsia="宋体"/>
          <w:b/>
          <w:color w:val="auto"/>
          <w:sz w:val="24"/>
          <w:szCs w:val="24"/>
          <w:highlight w:val="none"/>
        </w:rPr>
        <w:tab/>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.1 图纸的提供</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发包人向承包人提供图纸的期限：</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发包人向承包人提供图纸的数量：</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发包人向承包人提供图纸的内容：</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承包人文件</w:t>
      </w:r>
      <w:r/>
    </w:p>
    <w:p>
      <w:pPr>
        <w:ind w:left="596"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highlight w:val="none"/>
        </w:rPr>
        <w:t xml:space="preserve">需要由承包人提供的文件，包括：</w:t>
      </w:r>
      <w:r>
        <w:rPr>
          <w:rFonts w:ascii="宋体" w:hAnsi="宋体" w:eastAsia="宋体" w:cs="宋体"/>
          <w:color w:val="auto"/>
          <w:sz w:val="24"/>
          <w:highlight w:val="none"/>
          <w:u w:val="single"/>
        </w:rPr>
        <w:t xml:space="preserve">开工前7天提供施工组织设计、工程总进度</w:t>
      </w:r>
      <w:r/>
    </w:p>
    <w:p>
      <w:pPr>
        <w:ind w:left="0" w:right="0" w:firstLine="0"/>
        <w:jc w:val="both"/>
        <w:spacing w:before="0" w:after="0" w:line="439" w:lineRule="atLeast"/>
        <w:rPr>
          <w:rFonts w:hint="eastAsia" w:ascii="宋体" w:hAnsi="宋体" w:eastAsia="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计划，每周日下午5点前提供详细的施工进度计划、已完工程量报表（含工程变更及签证预算）、承包人自购材料清单、认质认价材料清单、材料进场计划、劳动力等资料</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承包人提供的文件的期限为：</w:t>
      </w:r>
      <w:r>
        <w:rPr>
          <w:rFonts w:hint="eastAsia" w:ascii="宋体" w:hAnsi="宋体" w:eastAsia="宋体"/>
          <w:color w:val="auto"/>
          <w:sz w:val="24"/>
          <w:szCs w:val="24"/>
          <w:highlight w:val="none"/>
          <w:u w:val="single"/>
        </w:rPr>
        <w:t xml:space="preserve">      同上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承包人提供的文件的数量为：</w:t>
      </w:r>
      <w:r>
        <w:rPr>
          <w:rFonts w:hint="eastAsia" w:ascii="宋体" w:hAnsi="宋体" w:eastAsia="宋体"/>
          <w:color w:val="auto"/>
          <w:sz w:val="24"/>
          <w:szCs w:val="24"/>
          <w:highlight w:val="none"/>
          <w:u w:val="single"/>
        </w:rPr>
        <w:t xml:space="preserve">      一式四套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承包人提供的文件的形式为：</w:t>
      </w:r>
      <w:r>
        <w:rPr>
          <w:rFonts w:hint="eastAsia" w:ascii="宋体" w:hAnsi="宋体" w:eastAsia="宋体"/>
          <w:color w:val="auto"/>
          <w:sz w:val="24"/>
          <w:szCs w:val="24"/>
          <w:highlight w:val="none"/>
          <w:u w:val="single"/>
        </w:rPr>
        <w:t xml:space="preserve">   书面版和电子版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发包人审批承包人文件的期限：</w:t>
      </w:r>
      <w:r>
        <w:rPr>
          <w:rFonts w:ascii="宋体" w:hAnsi="宋体" w:eastAsia="宋体" w:cs="宋体"/>
          <w:color w:val="auto"/>
          <w:sz w:val="24"/>
          <w:highlight w:val="none"/>
          <w:u w:val="single"/>
        </w:rPr>
        <w:t xml:space="preserve">收到文件后</w:t>
      </w:r>
      <w:r>
        <w:rPr>
          <w:rFonts w:hint="eastAsia" w:ascii="宋体" w:hAnsi="宋体" w:eastAsia="宋体" w:cs="宋体"/>
          <w:color w:val="auto"/>
          <w:sz w:val="24"/>
          <w:highlight w:val="none"/>
          <w:u w:val="single"/>
          <w:lang w:val="en-US" w:eastAsia="zh-CN"/>
        </w:rPr>
        <w:t xml:space="preserve">5</w:t>
      </w:r>
      <w:r>
        <w:rPr>
          <w:rFonts w:ascii="宋体" w:hAnsi="宋体" w:eastAsia="宋体" w:cs="宋体"/>
          <w:color w:val="auto"/>
          <w:sz w:val="24"/>
          <w:highlight w:val="none"/>
          <w:u w:val="single"/>
        </w:rPr>
        <w:t xml:space="preserve">天</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现场图纸准备</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关于现场图纸准备的约定：</w:t>
      </w:r>
      <w:r>
        <w:rPr>
          <w:rFonts w:hint="eastAsia" w:ascii="宋体" w:hAnsi="宋体" w:eastAsia="宋体"/>
          <w:color w:val="auto"/>
          <w:sz w:val="24"/>
          <w:szCs w:val="24"/>
          <w:highlight w:val="none"/>
          <w:u w:val="single"/>
        </w:rPr>
        <w:t xml:space="preserve">由承包人负责准备现场图纸</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9" w:name="_Toc3468"/>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 联络</w:t>
      </w:r>
      <w:bookmarkEnd w:id="199"/>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.1发包人和承包人应当在</w:t>
      </w:r>
      <w:r>
        <w:rPr>
          <w:rFonts w:hint="eastAsia" w:ascii="宋体" w:hAnsi="宋体" w:eastAsia="宋体"/>
          <w:color w:val="auto"/>
          <w:sz w:val="24"/>
          <w:szCs w:val="24"/>
          <w:highlight w:val="none"/>
          <w:u w:val="single"/>
        </w:rPr>
        <w:t xml:space="preserve">3</w:t>
      </w:r>
      <w:r>
        <w:rPr>
          <w:rFonts w:hint="eastAsia" w:ascii="宋体" w:hAnsi="宋体" w:eastAsia="宋体"/>
          <w:color w:val="auto"/>
          <w:sz w:val="24"/>
          <w:szCs w:val="24"/>
          <w:highlight w:val="none"/>
        </w:rPr>
        <w:t xml:space="preserve">天内将与合同有关的通知、批准、证明、证书、指示、指令、要求、请求、同意、意见、确定和决定等书面函件送达对方当事人。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.2 发包人接收文件的地点：</w:t>
      </w:r>
      <w:r>
        <w:rPr>
          <w:rFonts w:hint="eastAsia" w:ascii="宋体" w:hAnsi="宋体" w:eastAsia="宋体"/>
          <w:color w:val="auto"/>
          <w:sz w:val="24"/>
          <w:szCs w:val="24"/>
          <w:highlight w:val="none"/>
          <w:u w:val="single"/>
        </w:rPr>
        <w:t xml:space="preserve">发包人办公室</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发包人指定的接收人为：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承包人接收文件的地点：</w:t>
      </w:r>
      <w:r>
        <w:rPr>
          <w:rFonts w:hint="eastAsia" w:ascii="宋体" w:hAnsi="宋体" w:eastAsia="宋体"/>
          <w:color w:val="auto"/>
          <w:sz w:val="24"/>
          <w:szCs w:val="24"/>
          <w:highlight w:val="none"/>
          <w:u w:val="single"/>
        </w:rPr>
        <w:t xml:space="preserve">项目现场办公室或承包人住所地</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承包人指定的接收人为：</w:t>
      </w:r>
      <w:r>
        <w:rPr>
          <w:rFonts w:hint="eastAsia" w:ascii="宋体" w:hAnsi="宋体" w:eastAsia="宋体"/>
          <w:color w:val="auto"/>
          <w:sz w:val="24"/>
          <w:szCs w:val="24"/>
          <w:highlight w:val="none"/>
          <w:u w:val="single"/>
        </w:rPr>
        <w:t xml:space="preserve">项目部人员</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监理人接收文件的地点：</w:t>
      </w:r>
      <w:r>
        <w:rPr>
          <w:rFonts w:hint="eastAsia" w:ascii="宋体" w:hAnsi="宋体" w:eastAsia="宋体"/>
          <w:color w:val="auto"/>
          <w:sz w:val="24"/>
          <w:szCs w:val="24"/>
          <w:highlight w:val="none"/>
          <w:u w:val="single"/>
        </w:rPr>
        <w:t xml:space="preserve">项目现场办公室</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监理人指定的接收人为：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200" w:name="_Toc14019"/>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 交通运输</w:t>
      </w:r>
      <w:bookmarkEnd w:id="200"/>
      <w:r/>
      <w:r/>
    </w:p>
    <w:p>
      <w:pPr>
        <w:ind w:firstLine="480"/>
        <w:pageBreakBefore w:val="0"/>
        <w:spacing w:line="360" w:lineRule="auto"/>
        <w:rPr>
          <w:rFonts w:hint="eastAsia" w:ascii="宋体" w:hAnsi="宋体" w:eastAsia="宋体"/>
          <w:color w:val="auto"/>
          <w:sz w:val="24"/>
          <w:szCs w:val="24"/>
          <w:highlight w:val="none"/>
        </w:rPr>
        <w:outlineLvl w:val="0"/>
      </w:pPr>
      <w:r/>
      <w:bookmarkStart w:id="201" w:name="_Toc27740"/>
      <w:r>
        <w:rPr>
          <w:rFonts w:hint="eastAsia" w:ascii="宋体" w:hAnsi="宋体" w:eastAsia="宋体"/>
          <w:color w:val="auto"/>
          <w:sz w:val="24"/>
          <w:szCs w:val="24"/>
          <w:highlight w:val="none"/>
        </w:rPr>
        <w:t xml:space="preserve">1</w:t>
      </w:r>
      <w:bookmarkStart w:id="202" w:name="_Toc300934943"/>
      <w:r/>
      <w:bookmarkStart w:id="203" w:name="_Toc303539100"/>
      <w:r/>
      <w:bookmarkStart w:id="204" w:name="_Toc318581155"/>
      <w:r/>
      <w:bookmarkStart w:id="205" w:name="_Toc304295521"/>
      <w:r/>
      <w:bookmarkStart w:id="206" w:name="_Toc312677986"/>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.1 出入现场的权利</w:t>
      </w:r>
      <w:bookmarkEnd w:id="201"/>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关于出入现场的权利的约定：</w:t>
      </w:r>
      <w:r>
        <w:rPr>
          <w:rFonts w:hint="eastAsia" w:ascii="宋体" w:hAnsi="宋体" w:eastAsia="宋体"/>
          <w:color w:val="auto"/>
          <w:sz w:val="24"/>
          <w:szCs w:val="24"/>
          <w:highlight w:val="none"/>
          <w:u w:val="single"/>
        </w:rPr>
        <w:t xml:space="preserve">承包人已对施工场地现场勘察，由发包人按现状交付承包人施工，且施工场地平整等费用已包含在合同价款中。</w:t>
      </w:r>
      <w:bookmarkEnd w:id="202"/>
      <w:bookmarkEnd w:id="203"/>
      <w:bookmarkEnd w:id="204"/>
      <w:bookmarkEnd w:id="205"/>
      <w:bookmarkEnd w:id="206"/>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207" w:name="_Toc8902"/>
      <w:r>
        <w:rPr>
          <w:rFonts w:hint="eastAsia" w:ascii="宋体" w:hAnsi="宋体" w:eastAsia="宋体"/>
          <w:color w:val="auto"/>
          <w:sz w:val="24"/>
          <w:szCs w:val="24"/>
          <w:highlight w:val="none"/>
        </w:rPr>
        <w:t xml:space="preserve">1</w:t>
      </w:r>
      <w:bookmarkStart w:id="208" w:name="_Toc312677987"/>
      <w:r/>
      <w:bookmarkStart w:id="209" w:name="_Toc303539101"/>
      <w:r/>
      <w:bookmarkStart w:id="210" w:name="_Toc304295522"/>
      <w:r/>
      <w:bookmarkStart w:id="211" w:name="_Toc300934944"/>
      <w:r/>
      <w:bookmarkStart w:id="212" w:name="_Toc318581156"/>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场内交通</w:t>
      </w:r>
      <w:bookmarkEnd w:id="207"/>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关于场外交通和场内交通的边界的约定：</w:t>
      </w:r>
      <w:r>
        <w:rPr>
          <w:rFonts w:hint="eastAsia" w:ascii="宋体" w:hAnsi="宋体" w:eastAsia="宋体"/>
          <w:color w:val="auto"/>
          <w:sz w:val="24"/>
          <w:szCs w:val="24"/>
          <w:highlight w:val="none"/>
          <w:u w:val="single"/>
        </w:rPr>
        <w:t xml:space="preserve">发包人的用地红线范围为边界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关于发包人向承包人免费提供满足工程施工需要的场内道路和交通设施的约定：</w:t>
      </w:r>
      <w:bookmarkEnd w:id="208"/>
      <w:r/>
      <w:bookmarkEnd w:id="209"/>
      <w:r/>
      <w:bookmarkEnd w:id="210"/>
      <w:r/>
      <w:bookmarkEnd w:id="211"/>
      <w:r/>
      <w:bookmarkEnd w:id="212"/>
      <w:r>
        <w:rPr>
          <w:rFonts w:hint="eastAsia" w:ascii="宋体" w:hAnsi="宋体" w:eastAsia="宋体"/>
          <w:color w:val="auto"/>
          <w:sz w:val="24"/>
          <w:szCs w:val="24"/>
          <w:highlight w:val="none"/>
          <w:u w:val="single"/>
        </w:rPr>
        <w:t xml:space="preserve">均由承包人完成，费用已含在约定的合同价款计价方法中</w:t>
      </w:r>
      <w:r>
        <w:rPr>
          <w:rFonts w:hint="eastAsia" w:ascii="宋体" w:hAnsi="宋体" w:eastAsia="宋体"/>
          <w:color w:val="auto"/>
          <w:sz w:val="24"/>
          <w:szCs w:val="24"/>
          <w:highlight w:val="none"/>
        </w:rPr>
        <w:t xml:space="preserve">。</w:t>
      </w:r>
      <w:bookmarkStart w:id="213" w:name="_Toc318581157"/>
      <w:r/>
      <w:r/>
    </w:p>
    <w:p>
      <w:pPr>
        <w:ind w:firstLine="480"/>
        <w:jc w:val="left"/>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施工过程中，如遇需要占道施工、大型车辆临时停靠等情况，承包人需最少提前1天通知发包人，并按照相关部门要求负责做好施工现场警示标志、相关交通疏导等工作。</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超大件和超重件的运输</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运输超大件或超重件所需的道路和桥梁临时加固改造费用和其他有关费用由</w:t>
      </w:r>
      <w:r>
        <w:rPr>
          <w:rFonts w:hint="eastAsia" w:ascii="宋体" w:hAnsi="宋体" w:eastAsia="宋体"/>
          <w:color w:val="auto"/>
          <w:sz w:val="24"/>
          <w:szCs w:val="24"/>
          <w:highlight w:val="none"/>
          <w:u w:val="single"/>
        </w:rPr>
        <w:t xml:space="preserve">承包人</w:t>
      </w:r>
      <w:r>
        <w:rPr>
          <w:rFonts w:hint="eastAsia" w:ascii="宋体" w:hAnsi="宋体" w:eastAsia="宋体"/>
          <w:color w:val="auto"/>
          <w:sz w:val="24"/>
          <w:szCs w:val="24"/>
          <w:highlight w:val="none"/>
        </w:rPr>
        <w:t xml:space="preserve">承担。</w:t>
      </w:r>
      <w:bookmarkEnd w:id="213"/>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214" w:name="_Toc30998"/>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8</w:t>
      </w:r>
      <w:r>
        <w:rPr>
          <w:rFonts w:hint="eastAsia" w:ascii="宋体" w:hAnsi="宋体" w:eastAsia="宋体"/>
          <w:b/>
          <w:color w:val="auto"/>
          <w:sz w:val="24"/>
          <w:szCs w:val="24"/>
          <w:highlight w:val="none"/>
        </w:rPr>
        <w:t xml:space="preserve"> 知识产权</w:t>
      </w:r>
      <w:bookmarkEnd w:id="21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auto"/>
          <w:sz w:val="24"/>
          <w:szCs w:val="24"/>
          <w:highlight w:val="none"/>
          <w:u w:val="single"/>
        </w:rPr>
        <w:t xml:space="preserve">发包人</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关于发包人提供的上述文件的使用限制的要求：</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215" w:name="_Toc19436"/>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.2 关于承包人为实施工程所编制文件的著作权的归属：</w:t>
      </w:r>
      <w:r>
        <w:rPr>
          <w:rFonts w:hint="eastAsia" w:ascii="宋体" w:hAnsi="宋体" w:eastAsia="宋体"/>
          <w:color w:val="auto"/>
          <w:sz w:val="24"/>
          <w:szCs w:val="24"/>
          <w:highlight w:val="none"/>
          <w:u w:val="single"/>
        </w:rPr>
        <w:t xml:space="preserve">发包人</w:t>
      </w:r>
      <w:r>
        <w:rPr>
          <w:rFonts w:hint="eastAsia" w:ascii="宋体" w:hAnsi="宋体" w:eastAsia="宋体"/>
          <w:color w:val="auto"/>
          <w:sz w:val="24"/>
          <w:szCs w:val="24"/>
          <w:highlight w:val="none"/>
        </w:rPr>
        <w:t xml:space="preserve">。</w:t>
      </w:r>
      <w:bookmarkEnd w:id="215"/>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关于承包人提供的上述文件的使用限制的要求：</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216" w:name="_Toc19142"/>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承包人在施工过程中所采用的专利、专有技术、技术秘密的使用费的承担方式：</w:t>
      </w:r>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bookmarkEnd w:id="216"/>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工程量清单错误的修正</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出现工程量清单错误时，是否调整合同价格：</w:t>
      </w:r>
      <w:r>
        <w:rPr>
          <w:rFonts w:hint="eastAsia" w:ascii="宋体" w:hAnsi="宋体" w:eastAsia="宋体"/>
          <w:color w:val="auto"/>
          <w:sz w:val="24"/>
          <w:szCs w:val="24"/>
          <w:highlight w:val="none"/>
          <w:u w:val="single"/>
        </w:rPr>
        <w:t xml:space="preserve">是</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允许调整合同价格的工程量偏差范围：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40"/>
        <w:ind w:firstLine="482"/>
        <w:pageBreakBefore w:val="0"/>
        <w:spacing w:before="120" w:after="120" w:line="360" w:lineRule="auto"/>
        <w:rPr>
          <w:rFonts w:hint="eastAsia" w:ascii="宋体" w:hAnsi="宋体"/>
          <w:color w:val="auto"/>
          <w:sz w:val="24"/>
          <w:szCs w:val="24"/>
          <w:highlight w:val="none"/>
        </w:rPr>
      </w:pPr>
      <w:r/>
      <w:bookmarkStart w:id="217" w:name="_Toc351203634"/>
      <w:r>
        <w:rPr>
          <w:rFonts w:hint="eastAsia" w:ascii="宋体" w:hAnsi="宋体"/>
          <w:color w:val="auto"/>
          <w:sz w:val="24"/>
          <w:szCs w:val="24"/>
          <w:highlight w:val="none"/>
        </w:rPr>
        <w:t xml:space="preserve">2</w:t>
      </w:r>
      <w:bookmarkStart w:id="218" w:name="_Toc296944496"/>
      <w:r/>
      <w:bookmarkStart w:id="219" w:name="_Toc296503157"/>
      <w:r/>
      <w:bookmarkStart w:id="220" w:name="_Toc292559362"/>
      <w:r/>
      <w:bookmarkStart w:id="221" w:name="_Toc296346658"/>
      <w:r/>
      <w:bookmarkStart w:id="222" w:name="_Toc297120457"/>
      <w:r/>
      <w:bookmarkStart w:id="223" w:name="_Toc292559867"/>
      <w:r/>
      <w:bookmarkStart w:id="224" w:name="_Toc297048343"/>
      <w:r/>
      <w:bookmarkStart w:id="225" w:name="_Toc296890985"/>
      <w:r/>
      <w:bookmarkStart w:id="226" w:name="_Toc296891197"/>
      <w:r/>
      <w:bookmarkStart w:id="227" w:name="_Toc296347156"/>
      <w:r>
        <w:rPr>
          <w:rFonts w:hint="eastAsia" w:ascii="宋体" w:hAnsi="宋体"/>
          <w:color w:val="auto"/>
          <w:sz w:val="24"/>
          <w:szCs w:val="24"/>
          <w:highlight w:val="none"/>
        </w:rPr>
        <w:t xml:space="preserve">. 发包人</w:t>
      </w:r>
      <w:bookmarkEnd w:id="217"/>
      <w:r/>
      <w:bookmarkEnd w:id="218"/>
      <w:bookmarkEnd w:id="219"/>
      <w:bookmarkEnd w:id="220"/>
      <w:bookmarkEnd w:id="221"/>
      <w:bookmarkEnd w:id="222"/>
      <w:bookmarkEnd w:id="223"/>
      <w:bookmarkEnd w:id="224"/>
      <w:bookmarkEnd w:id="225"/>
      <w:bookmarkEnd w:id="226"/>
      <w:bookmarkEnd w:id="227"/>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228" w:name="_Toc15891"/>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rPr>
        <w:t xml:space="preserve"> 发包人代表</w:t>
      </w:r>
      <w:bookmarkEnd w:id="228"/>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发包人代表：</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身份证号：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职    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发包人对发包人代表的授权范围如下：</w:t>
      </w:r>
      <w:r>
        <w:rPr>
          <w:rFonts w:hint="eastAsia" w:ascii="宋体" w:hAnsi="宋体" w:eastAsia="宋体"/>
          <w:color w:val="auto"/>
          <w:sz w:val="24"/>
          <w:szCs w:val="24"/>
          <w:highlight w:val="none"/>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 施工现场、施工条件和基础资料的提供</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提供施工现场</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关于发包人移交施工现场的期限要求：</w:t>
      </w:r>
      <w:r>
        <w:rPr>
          <w:rFonts w:hint="eastAsia" w:ascii="宋体" w:hAnsi="宋体" w:eastAsia="宋体"/>
          <w:color w:val="auto"/>
          <w:sz w:val="24"/>
          <w:szCs w:val="24"/>
          <w:highlight w:val="none"/>
          <w:u w:val="single"/>
        </w:rPr>
        <w:t xml:space="preserve">已具备移交条件</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.2 提供施工条件</w:t>
      </w:r>
      <w:r/>
    </w:p>
    <w:p>
      <w:pPr>
        <w:ind w:firstLine="480"/>
        <w:jc w:val="left"/>
        <w:pageBreakBefore w:val="0"/>
        <w:spacing w:line="360" w:lineRule="auto"/>
        <w:widowControl/>
        <w:rPr>
          <w:rFonts w:hint="eastAsia" w:ascii="宋体" w:hAnsi="宋体" w:eastAsia="宋体"/>
          <w:b/>
          <w:color w:val="auto"/>
          <w:sz w:val="24"/>
          <w:szCs w:val="24"/>
          <w:highlight w:val="none"/>
          <w:u w:val="single"/>
        </w:rPr>
      </w:pPr>
      <w:r>
        <w:rPr>
          <w:rFonts w:hint="eastAsia" w:ascii="宋体" w:hAnsi="宋体" w:eastAsia="宋体"/>
          <w:color w:val="auto"/>
          <w:sz w:val="24"/>
          <w:szCs w:val="24"/>
          <w:highlight w:val="none"/>
        </w:rPr>
        <w:t xml:space="preserve">关于发包人应负责提供施工所需要的条件，包括：</w:t>
      </w:r>
      <w:r>
        <w:rPr>
          <w:rFonts w:hint="eastAsia" w:ascii="宋体" w:hAnsi="宋体" w:eastAsia="宋体"/>
          <w:color w:val="auto"/>
          <w:sz w:val="24"/>
          <w:szCs w:val="24"/>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水准点与坐标控制点以书面形式交给承包人，并于开工前进行现场交验；</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color w:val="auto"/>
          <w:sz w:val="24"/>
          <w:szCs w:val="24"/>
          <w:highlight w:val="none"/>
          <w:u w:val="single"/>
          <w:lang w:val="en-US" w:eastAsia="zh-CN"/>
        </w:rPr>
        <w:t xml:space="preserve">如施工过程中因施工方原因对周边土地、河道、农作物、建筑等产生破坏，由承包人自行承担修复赔偿责任。</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229" w:name="_Toc21199"/>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资金来源证明及支付担保</w:t>
      </w:r>
      <w:bookmarkEnd w:id="229"/>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发包人提供资金来源证明的期限要求：</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发包人是否提供支付担保：</w:t>
      </w:r>
      <w:r>
        <w:rPr>
          <w:rFonts w:hint="eastAsia" w:ascii="宋体" w:hAnsi="宋体" w:eastAsia="宋体"/>
          <w:color w:val="auto"/>
          <w:sz w:val="24"/>
          <w:szCs w:val="24"/>
          <w:highlight w:val="none"/>
          <w:u w:val="single"/>
        </w:rPr>
        <w:t xml:space="preserve">  无支付担保                  </w:t>
      </w:r>
      <w:r>
        <w:rPr>
          <w:rFonts w:hint="eastAsia" w:ascii="宋体" w:hAnsi="宋体" w:eastAsia="宋体"/>
          <w:color w:val="auto"/>
          <w:sz w:val="24"/>
          <w:szCs w:val="24"/>
          <w:highlight w:val="none"/>
        </w:rPr>
        <w:t xml:space="preserve">。</w:t>
      </w:r>
      <w:r/>
    </w:p>
    <w:p>
      <w:pPr>
        <w:ind w:firstLine="480"/>
        <w:pageBreakBefore w:val="0"/>
        <w:spacing w:line="360" w:lineRule="auto"/>
        <w:rPr>
          <w:rFonts w:ascii="Times New Roman" w:hAnsi="Times New Roman" w:eastAsia="仿宋_GB2312"/>
          <w:color w:val="auto"/>
          <w:sz w:val="24"/>
          <w:szCs w:val="24"/>
          <w:highlight w:val="none"/>
          <w:u w:val="single"/>
        </w:rPr>
      </w:pPr>
      <w:r>
        <w:rPr>
          <w:rFonts w:hint="eastAsia" w:ascii="宋体" w:hAnsi="宋体" w:eastAsia="宋体"/>
          <w:color w:val="auto"/>
          <w:sz w:val="24"/>
          <w:szCs w:val="24"/>
          <w:highlight w:val="none"/>
        </w:rPr>
        <w:t xml:space="preserve">发包人提供支付担保的形式：</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pStyle w:val="1140"/>
        <w:ind w:firstLine="482"/>
        <w:pageBreakBefore w:val="0"/>
        <w:spacing w:line="360" w:lineRule="auto"/>
        <w:rPr>
          <w:rFonts w:hint="eastAsia" w:ascii="宋体" w:hAnsi="宋体"/>
          <w:color w:val="auto"/>
          <w:sz w:val="24"/>
          <w:szCs w:val="24"/>
          <w:highlight w:val="none"/>
        </w:rPr>
      </w:pPr>
      <w:r/>
      <w:bookmarkStart w:id="230" w:name="_Toc351203635"/>
      <w:r>
        <w:rPr>
          <w:rFonts w:hint="eastAsia" w:ascii="宋体" w:hAnsi="宋体"/>
          <w:color w:val="auto"/>
          <w:sz w:val="24"/>
          <w:szCs w:val="24"/>
          <w:highlight w:val="none"/>
        </w:rPr>
        <w:t xml:space="preserve">3</w:t>
      </w:r>
      <w:bookmarkStart w:id="231" w:name="_Toc292559868"/>
      <w:r/>
      <w:bookmarkStart w:id="232" w:name="_Toc292559363"/>
      <w:r/>
      <w:bookmarkStart w:id="233" w:name="_Toc296346659"/>
      <w:r/>
      <w:bookmarkStart w:id="234" w:name="_Toc296503158"/>
      <w:r/>
      <w:bookmarkStart w:id="235" w:name="_Toc297048344"/>
      <w:r/>
      <w:bookmarkStart w:id="236" w:name="_Toc296347157"/>
      <w:r/>
      <w:bookmarkStart w:id="237" w:name="_Toc296891198"/>
      <w:r/>
      <w:bookmarkStart w:id="238" w:name="_Toc296890986"/>
      <w:r/>
      <w:bookmarkStart w:id="239" w:name="_Toc297120458"/>
      <w:r/>
      <w:bookmarkStart w:id="240" w:name="_Toc296944497"/>
      <w:r>
        <w:rPr>
          <w:rFonts w:hint="eastAsia" w:ascii="宋体" w:hAnsi="宋体"/>
          <w:color w:val="auto"/>
          <w:sz w:val="24"/>
          <w:szCs w:val="24"/>
          <w:highlight w:val="none"/>
        </w:rPr>
        <w:t xml:space="preserve">. 承包人</w:t>
      </w:r>
      <w:bookmarkEnd w:id="230"/>
      <w:r/>
      <w:bookmarkEnd w:id="231"/>
      <w:bookmarkEnd w:id="232"/>
      <w:bookmarkEnd w:id="233"/>
      <w:bookmarkEnd w:id="234"/>
      <w:bookmarkEnd w:id="235"/>
      <w:bookmarkEnd w:id="236"/>
      <w:bookmarkEnd w:id="237"/>
      <w:bookmarkEnd w:id="238"/>
      <w:bookmarkEnd w:id="239"/>
      <w:bookmarkEnd w:id="240"/>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3.1 承包人的一般义务</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（1）承包人提交的竣工资料的内容：</w:t>
      </w:r>
      <w:r>
        <w:rPr>
          <w:rFonts w:hint="eastAsia" w:ascii="宋体" w:hAnsi="宋体" w:eastAsia="宋体"/>
          <w:color w:val="auto"/>
          <w:sz w:val="24"/>
          <w:szCs w:val="24"/>
          <w:highlight w:val="none"/>
          <w:u w:val="single"/>
        </w:rPr>
        <w:t xml:space="preserve">承包人应按《建设工程文件归档规范》（GB/T50328-2014）（2019 年局部修订）及建设部建城</w:t>
      </w:r>
      <w:r>
        <w:rPr>
          <w:rFonts w:hint="eastAsia" w:ascii="宋体" w:hAnsi="宋体"/>
          <w:color w:val="auto"/>
          <w:sz w:val="24"/>
          <w:szCs w:val="24"/>
          <w:highlight w:val="none"/>
          <w:u w:val="single"/>
          <w:lang w:eastAsia="zh-CN"/>
        </w:rPr>
        <w:t xml:space="preserve">〔2002〕221号</w:t>
      </w:r>
      <w:r>
        <w:rPr>
          <w:rFonts w:hint="eastAsia" w:ascii="宋体" w:hAnsi="宋体" w:eastAsia="宋体"/>
          <w:color w:val="auto"/>
          <w:sz w:val="24"/>
          <w:szCs w:val="24"/>
          <w:highlight w:val="none"/>
          <w:u w:val="single"/>
        </w:rPr>
        <w:t xml:space="preserve">文关于《市政基础设施工程施工技术文件管理规定》的要求，向发包人提供经过总监理工程师审核认可的完整并符合要求的竣工资料，含竣工图及其它资料。</w:t>
      </w:r>
      <w:r/>
    </w:p>
    <w:p>
      <w:pPr>
        <w:ind w:left="638"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承包人需要提交的竣工资料套数：</w:t>
      </w:r>
      <w:r>
        <w:rPr>
          <w:rFonts w:hint="eastAsia" w:ascii="宋体" w:hAnsi="宋体" w:eastAsia="宋体"/>
          <w:color w:val="auto"/>
          <w:sz w:val="24"/>
          <w:szCs w:val="24"/>
          <w:highlight w:val="none"/>
          <w:u w:val="single"/>
        </w:rPr>
        <w:t xml:space="preserve">三套</w:t>
      </w:r>
      <w:r>
        <w:rPr>
          <w:rFonts w:hint="eastAsia" w:ascii="宋体" w:hAnsi="宋体" w:eastAsia="宋体"/>
          <w:color w:val="auto"/>
          <w:sz w:val="24"/>
          <w:szCs w:val="24"/>
          <w:highlight w:val="none"/>
        </w:rPr>
        <w:t xml:space="preserve">。</w:t>
      </w:r>
      <w:r/>
    </w:p>
    <w:p>
      <w:pPr>
        <w:ind w:left="638"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承包人提交的竣工资料的费用承担：</w:t>
      </w:r>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left="638"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承包人提交的竣工资料移交时间：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638"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承包人提交的竣工资料形式要求：</w:t>
      </w:r>
      <w:r>
        <w:rPr>
          <w:rFonts w:hint="eastAsia" w:ascii="宋体" w:hAnsi="宋体" w:eastAsia="宋体"/>
          <w:color w:val="auto"/>
          <w:sz w:val="24"/>
          <w:szCs w:val="24"/>
          <w:highlight w:val="none"/>
          <w:u w:val="single"/>
        </w:rPr>
        <w:t xml:space="preserve">书面及电子文档</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（2）承包人应履行的其他义务：</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在本合同签订后至开工前，承包人应积极做好开工前的各项准备工作。</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场内外道路：场外道路已开通，场地内施工临时道路、硬化等由承包人自行安排，相关费用由承包人承担。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3）独立、有效</w:t>
      </w:r>
      <w:r>
        <w:rPr>
          <w:rFonts w:hint="eastAsia" w:ascii="宋体" w:hAnsi="宋体" w:eastAsia="宋体"/>
          <w:color w:val="auto"/>
          <w:sz w:val="24"/>
          <w:szCs w:val="24"/>
          <w:highlight w:val="none"/>
          <w:u w:val="single"/>
          <w:lang w:eastAsia="zh-CN"/>
        </w:rPr>
        <w:t xml:space="preserve">地</w:t>
      </w:r>
      <w:r>
        <w:rPr>
          <w:rFonts w:hint="eastAsia" w:ascii="宋体" w:hAnsi="宋体" w:eastAsia="宋体"/>
          <w:color w:val="auto"/>
          <w:sz w:val="24"/>
          <w:szCs w:val="24"/>
          <w:highlight w:val="none"/>
          <w:u w:val="single"/>
        </w:rPr>
        <w:t xml:space="preserve">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 应提供计划、报表的名称及完成时间：每周五下午5</w:t>
      </w: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00前提供下周计划和本周完成情况统计表，完成工程量价款汇总（一式三份）交监理机构。</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 承担施工安全保卫工作及非夜间施工照明的责任和要求：提供和维修非夜间施工使用的照明、围栏设施、并负责安全保卫；承包人在各种危险部位设置明显的安全警示标志，安全警示标志必须符合国家标准，如发生安全事故，责任概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 向发包人提供的办公用房及设施的要求：无偿提供监理、发包人办公室等办公用房，费用已列入合同价款范围。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7) 需承包人办理的有关施工场地交通、环卫环保和施工噪音管理等手续：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8</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遵守政府有关主管部门对施工场地交通、施工噪音、环境保护和安全生产等的管理规定，按规定办理有关手续，并以书面形式通知发包人，所有费用均已含在合同价款中。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9) 已完工程成品保护的特殊要求及费用承担：已竣工工程未交付发包人之前，承包人负责已完成工程的保护工作，所需费用含在合同价款内。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10) 施工场地周围地下管线和邻近建筑物、构筑物（含文物保护</w:t>
      </w:r>
      <w:r>
        <w:rPr>
          <w:rFonts w:hint="eastAsia" w:ascii="宋体" w:hAnsi="宋体" w:eastAsia="宋体"/>
          <w:color w:val="auto"/>
          <w:sz w:val="24"/>
          <w:szCs w:val="24"/>
          <w:highlight w:val="none"/>
          <w:u w:val="single"/>
          <w:lang w:eastAsia="zh-CN"/>
        </w:rPr>
        <w:t xml:space="preserve">建筑</w:t>
      </w:r>
      <w:r>
        <w:rPr>
          <w:rFonts w:hint="eastAsia" w:ascii="宋体" w:hAnsi="宋体" w:eastAsia="宋体"/>
          <w:color w:val="auto"/>
          <w:sz w:val="24"/>
          <w:szCs w:val="24"/>
          <w:highlight w:val="none"/>
          <w:u w:val="single"/>
        </w:rPr>
        <w:t xml:space="preserve">）、古树名木的保护要求及费用承担：负责做好施工场地周围地下管线和邻近建筑物、构筑物（含文物保护建筑）、古树名木保护措施，费用含在合同价款中。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11) 施工场地清洁卫生的要求：施工现场材料堆放要整齐，并有遮盖，不得扬尘，机械停放有序，符合清洁卫生要求，承担因自身原因违反有关规定造成的损失和罚款。</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13) 双方约定承包人应做的其他工作：施工场地要设立标语、标牌，做到文明施工，树立企业形象，主动接受社会监督和有关部门的管理。</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15）承包人已仔细勘察并充分考虑施工范围内地面以上及地面以下</w:t>
      </w:r>
      <w:r>
        <w:rPr>
          <w:rFonts w:hint="eastAsia" w:ascii="宋体" w:hAnsi="宋体"/>
          <w:color w:val="auto"/>
          <w:sz w:val="24"/>
          <w:szCs w:val="24"/>
          <w:highlight w:val="none"/>
          <w:u w:val="single"/>
          <w:lang w:val="en-US" w:eastAsia="zh-CN"/>
        </w:rPr>
        <w:t xml:space="preserve">目前以及施工</w:t>
      </w:r>
      <w:r>
        <w:rPr>
          <w:rFonts w:hint="eastAsia" w:ascii="宋体" w:hAnsi="宋体" w:eastAsia="宋体"/>
          <w:color w:val="auto"/>
          <w:sz w:val="24"/>
          <w:szCs w:val="24"/>
          <w:highlight w:val="none"/>
          <w:u w:val="single"/>
        </w:rPr>
        <w:t xml:space="preserve">将产生的建筑垃圾、杂土清运的工程量，且费用已包含在合同价款中。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p>
    <w:p>
      <w:pPr>
        <w:ind w:firstLine="480"/>
        <w:jc w:val="left"/>
        <w:pageBreakBefore w:val="0"/>
        <w:spacing w:line="360" w:lineRule="auto"/>
        <w:widowControl/>
        <w:rPr>
          <w:rStyle w:val="1250"/>
          <w:rFonts w:hint="eastAsia"/>
          <w:color w:val="auto"/>
          <w:sz w:val="24"/>
          <w:szCs w:val="24"/>
          <w:highlight w:val="none"/>
          <w:u w:val="single"/>
        </w:rPr>
      </w:pPr>
      <w:r>
        <w:rPr>
          <w:rFonts w:hint="eastAsia" w:ascii="宋体" w:hAnsi="宋体" w:eastAsia="宋体"/>
          <w:color w:val="auto"/>
          <w:sz w:val="24"/>
          <w:szCs w:val="24"/>
          <w:highlight w:val="none"/>
          <w:u w:val="single"/>
        </w:rPr>
        <w:t xml:space="preserve">17）</w:t>
      </w:r>
      <w:r>
        <w:rPr>
          <w:rStyle w:val="1250"/>
          <w:rFonts w:hint="eastAsia"/>
          <w:color w:val="auto"/>
          <w:sz w:val="24"/>
          <w:szCs w:val="24"/>
          <w:highlight w:val="none"/>
          <w:u w:val="single"/>
        </w:rPr>
        <w:t xml:space="preserve">对于施工过程中承包人不得因承包方前期手续而索赔或消极施工，需积极配合，保证工程按计划进行。如发生类似情形，发现一次扣除履约保证金的</w:t>
      </w:r>
      <w:r>
        <w:rPr>
          <w:rStyle w:val="1251"/>
          <w:color w:val="auto"/>
          <w:sz w:val="24"/>
          <w:szCs w:val="24"/>
          <w:highlight w:val="none"/>
          <w:u w:val="single"/>
        </w:rPr>
        <w:t xml:space="preserve">10%</w:t>
      </w:r>
      <w:r>
        <w:rPr>
          <w:rStyle w:val="1251"/>
          <w:rFonts w:hint="eastAsia"/>
          <w:color w:val="auto"/>
          <w:sz w:val="24"/>
          <w:szCs w:val="24"/>
          <w:highlight w:val="none"/>
          <w:u w:val="single"/>
        </w:rPr>
        <w:t xml:space="preserve"> </w:t>
      </w:r>
      <w:r>
        <w:rPr>
          <w:rStyle w:val="1250"/>
          <w:rFonts w:hint="eastAsia"/>
          <w:color w:val="auto"/>
          <w:sz w:val="24"/>
          <w:szCs w:val="24"/>
          <w:highlight w:val="none"/>
          <w:u w:val="single"/>
        </w:rPr>
        <w:t xml:space="preserve">。</w:t>
      </w:r>
      <w:r/>
    </w:p>
    <w:p>
      <w:pPr>
        <w:ind w:firstLine="480"/>
        <w:jc w:val="left"/>
        <w:pageBreakBefore w:val="0"/>
        <w:spacing w:line="360" w:lineRule="auto"/>
        <w:widowControl/>
        <w:rPr>
          <w:rStyle w:val="1250"/>
          <w:rFonts w:hint="eastAsia"/>
          <w:color w:val="auto"/>
          <w:sz w:val="24"/>
          <w:szCs w:val="24"/>
          <w:highlight w:val="none"/>
          <w:u w:val="single"/>
        </w:rPr>
      </w:pPr>
      <w:r>
        <w:rPr>
          <w:rStyle w:val="1250"/>
          <w:rFonts w:hint="eastAsia"/>
          <w:color w:val="auto"/>
          <w:sz w:val="24"/>
          <w:szCs w:val="24"/>
          <w:highlight w:val="none"/>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3.2 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3.2.1 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身份证号：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建造师执业资格等级：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建造师注册证书号：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建造师执业印章号：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安全生产考核合格证书号：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承包人对项目经理的授权范围如下：</w:t>
      </w:r>
      <w:r>
        <w:rPr>
          <w:rFonts w:hint="eastAsia" w:ascii="宋体" w:hAnsi="宋体" w:eastAsia="宋体"/>
          <w:color w:val="auto"/>
          <w:sz w:val="24"/>
          <w:szCs w:val="24"/>
          <w:highlight w:val="none"/>
          <w:u w:val="single"/>
        </w:rPr>
        <w:t xml:space="preserve">作为承包人代表，负责本工程项目施工</w:t>
      </w:r>
      <w:r>
        <w:rPr>
          <w:rFonts w:hint="eastAsia" w:ascii="宋体" w:hAnsi="宋体"/>
          <w:color w:val="auto"/>
          <w:sz w:val="24"/>
          <w:szCs w:val="24"/>
          <w:highlight w:val="none"/>
          <w:u w:val="single"/>
          <w:lang w:eastAsia="zh-CN"/>
        </w:rPr>
        <w:t xml:space="preserve">全过程</w:t>
      </w:r>
      <w:r>
        <w:rPr>
          <w:rFonts w:hint="eastAsia" w:ascii="宋体" w:hAnsi="宋体" w:eastAsia="宋体"/>
          <w:color w:val="auto"/>
          <w:sz w:val="24"/>
          <w:szCs w:val="24"/>
          <w:highlight w:val="none"/>
          <w:u w:val="single"/>
        </w:rPr>
        <w:t xml:space="preserve">全面管理的责任和义务，全权代表承包人履行合同义务</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关于项目经理每月在施工现场的时间要求：</w:t>
      </w:r>
      <w:r>
        <w:rPr>
          <w:rFonts w:hint="eastAsia" w:ascii="宋体" w:hAnsi="宋体" w:eastAsia="宋体"/>
          <w:color w:val="auto"/>
          <w:sz w:val="24"/>
          <w:szCs w:val="24"/>
          <w:highlight w:val="none"/>
          <w:u w:val="single"/>
        </w:rPr>
        <w:t xml:space="preserve">在本工程完工前，项目负责人不得参与其他工程的投标，必须常驻现场，每天不少于8小时，关键节点必须在岗。离开施工现场必须请假，一天向总监请假，二天及以上向发包人请假。</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承包人未提交劳动合同，以及没有为项目经理缴纳社会保险证明的违约责任：</w:t>
      </w:r>
      <w:r>
        <w:rPr>
          <w:rFonts w:hint="eastAsia" w:ascii="宋体" w:hAnsi="宋体" w:eastAsia="宋体"/>
          <w:color w:val="auto"/>
          <w:sz w:val="24"/>
          <w:szCs w:val="24"/>
          <w:highlight w:val="none"/>
          <w:u w:val="single"/>
        </w:rPr>
        <w:t xml:space="preserve">处以3万元罚款，责令限期提交劳动合同并补缴社会保险；承包人承担因此产生的全部损失和责任，工期不予顺延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项目经理未经批准，擅自离开施工现场的违约责任：</w:t>
      </w:r>
      <w:r>
        <w:rPr>
          <w:rFonts w:hint="eastAsia" w:ascii="宋体" w:hAnsi="宋体" w:eastAsia="宋体"/>
          <w:color w:val="auto"/>
          <w:sz w:val="24"/>
          <w:szCs w:val="24"/>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3.2.3 承包人擅自更换项目经理的违约责任：</w:t>
      </w:r>
      <w:r>
        <w:rPr>
          <w:rFonts w:hint="eastAsia" w:ascii="宋体" w:hAnsi="宋体" w:eastAsia="宋体"/>
          <w:color w:val="auto"/>
          <w:sz w:val="24"/>
          <w:szCs w:val="24"/>
          <w:highlight w:val="none"/>
          <w:u w:val="single"/>
        </w:rPr>
        <w:t xml:space="preserve">处以5万元罚款，承包人承担上述违约给发包人造成的一切损失，发包人有权单方面解除合同，已完工程不做结算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3.2.4 承包人无正当理由拒绝更换项目经理的违约责任：</w:t>
      </w:r>
      <w:r>
        <w:rPr>
          <w:rFonts w:hint="eastAsia" w:ascii="宋体" w:hAnsi="宋体" w:eastAsia="宋体"/>
          <w:color w:val="auto"/>
          <w:sz w:val="24"/>
          <w:szCs w:val="24"/>
          <w:highlight w:val="none"/>
          <w:u w:val="single"/>
        </w:rPr>
        <w:t xml:space="preserve"> 处以5万元罚款，承包人承担上述违约给发包人造成的一切损失，发包人有权单方面解除合同，已完工程不做结算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3.3 承包人人员</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3.3.1 承包人提交项目管理机构及施工现场管理人员安排报告的期限：</w:t>
      </w:r>
      <w:r>
        <w:rPr>
          <w:rFonts w:hint="eastAsia" w:ascii="宋体" w:hAnsi="宋体" w:eastAsia="宋体"/>
          <w:color w:val="auto"/>
          <w:sz w:val="24"/>
          <w:szCs w:val="24"/>
          <w:highlight w:val="none"/>
          <w:u w:val="single"/>
        </w:rPr>
        <w:t xml:space="preserve">工程开工前7天</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承包人无正当理由拒绝撤换主要施工管理人员的违约责任：</w:t>
      </w:r>
      <w:r>
        <w:rPr>
          <w:rFonts w:hint="eastAsia" w:ascii="宋体" w:hAnsi="宋体" w:eastAsia="宋体"/>
          <w:color w:val="auto"/>
          <w:sz w:val="24"/>
          <w:szCs w:val="24"/>
          <w:highlight w:val="none"/>
          <w:u w:val="single"/>
        </w:rPr>
        <w:t xml:space="preserve">处以2万元罚款，承包人承担上述违约给发包人造成的一切损失，发包人有权单方面解除合同，已完工程不做结算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承包人主要施工管理人员离开施工现场的批准要求：</w:t>
      </w:r>
      <w:r>
        <w:rPr>
          <w:rFonts w:hint="eastAsia" w:ascii="宋体" w:hAnsi="宋体" w:eastAsia="宋体"/>
          <w:color w:val="auto"/>
          <w:sz w:val="24"/>
          <w:szCs w:val="24"/>
          <w:highlight w:val="none"/>
          <w:u w:val="single"/>
        </w:rPr>
        <w:t xml:space="preserve">由总监理工程师批准，发包人书面认可后方可离开</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3.3.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承包人擅自更换主要施工管理人员的违约责任：</w:t>
      </w:r>
      <w:r>
        <w:rPr>
          <w:rFonts w:hint="eastAsia" w:ascii="宋体" w:hAnsi="宋体" w:eastAsia="宋体"/>
          <w:color w:val="auto"/>
          <w:sz w:val="24"/>
          <w:szCs w:val="24"/>
          <w:highlight w:val="none"/>
          <w:u w:val="single"/>
        </w:rPr>
        <w:t xml:space="preserve">处以1000元罚款，承包人承担上述违约给发包人造成的一切损失，发包人有权单方面解除合同，已完工程不做结算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承包人主要施工管理人员擅自离开施工现场的违约责任：</w:t>
      </w:r>
      <w:r>
        <w:rPr>
          <w:rFonts w:hint="eastAsia" w:ascii="宋体" w:hAnsi="宋体" w:eastAsia="宋体"/>
          <w:color w:val="auto"/>
          <w:sz w:val="24"/>
          <w:szCs w:val="24"/>
          <w:highlight w:val="none"/>
          <w:u w:val="single"/>
        </w:rPr>
        <w:t xml:space="preserve">处以200元罚款，承包人承担上述违约给发包人造成的一切损失</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bookmarkStart w:id="241" w:name="_Toc296347158"/>
      <w:r/>
      <w:bookmarkStart w:id="242" w:name="_Toc296890987"/>
      <w:r/>
      <w:bookmarkStart w:id="243" w:name="_Toc292559364"/>
      <w:r/>
      <w:bookmarkStart w:id="244" w:name="_Toc296346660"/>
      <w:r/>
      <w:bookmarkStart w:id="245" w:name="_Toc297216151"/>
      <w:r/>
      <w:bookmarkStart w:id="246" w:name="_Toc300934945"/>
      <w:r/>
      <w:bookmarkStart w:id="247" w:name="_Toc303539102"/>
      <w:r/>
      <w:bookmarkStart w:id="248" w:name="_Toc292559869"/>
      <w:r/>
      <w:bookmarkStart w:id="249" w:name="_Toc297123492"/>
      <w:r/>
      <w:bookmarkStart w:id="250" w:name="_Toc312677988"/>
      <w:r/>
      <w:bookmarkStart w:id="251" w:name="_Toc297048345"/>
      <w:r/>
      <w:bookmarkStart w:id="252" w:name="_Toc296503159"/>
      <w:r/>
      <w:bookmarkStart w:id="253" w:name="_Toc296944498"/>
      <w:r/>
      <w:bookmarkStart w:id="254" w:name="_Toc297120459"/>
      <w:r/>
      <w:bookmarkStart w:id="255" w:name="_Toc304295523"/>
      <w:r/>
      <w:bookmarkStart w:id="256" w:name="_Toc296891199"/>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分包</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bookmarkStart w:id="257" w:name="_Toc300934946"/>
      <w:r/>
      <w:bookmarkStart w:id="258" w:name="_Toc297123493"/>
      <w:r/>
      <w:bookmarkStart w:id="259" w:name="_Toc296944499"/>
      <w:r/>
      <w:bookmarkStart w:id="260" w:name="_Toc292559365"/>
      <w:r/>
      <w:bookmarkStart w:id="261" w:name="_Toc296503160"/>
      <w:r/>
      <w:bookmarkStart w:id="262" w:name="_Toc297048346"/>
      <w:r/>
      <w:bookmarkStart w:id="263" w:name="_Toc296891200"/>
      <w:r/>
      <w:bookmarkStart w:id="264" w:name="_Toc296346661"/>
      <w:r/>
      <w:bookmarkStart w:id="265" w:name="_Toc296890988"/>
      <w:r/>
      <w:bookmarkStart w:id="266" w:name="_Toc304295524"/>
      <w:r/>
      <w:bookmarkStart w:id="267" w:name="_Toc297216152"/>
      <w:r/>
      <w:bookmarkStart w:id="268" w:name="_Toc292559870"/>
      <w:r/>
      <w:bookmarkStart w:id="269" w:name="_Toc296347159"/>
      <w:r/>
      <w:bookmarkStart w:id="270" w:name="_Toc297120460"/>
      <w:r/>
      <w:bookmarkStart w:id="271" w:name="_Toc303539103"/>
      <w:r/>
      <w:bookmarkStart w:id="272" w:name="_Toc318581158"/>
      <w:r/>
      <w:bookmarkStart w:id="273" w:name="_Toc312677989"/>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分包的一般约定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禁止分包的工程包括：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主体结构、关键性工作的范围：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74" w:name="_Toc297216153"/>
      <w:r/>
      <w:bookmarkStart w:id="275" w:name="_Toc296944500"/>
      <w:r/>
      <w:bookmarkStart w:id="276" w:name="_Toc296891201"/>
      <w:r/>
      <w:bookmarkStart w:id="277" w:name="_Toc296346662"/>
      <w:r/>
      <w:bookmarkStart w:id="278" w:name="_Toc297120461"/>
      <w:r/>
      <w:bookmarkStart w:id="279" w:name="_Toc304295525"/>
      <w:r/>
      <w:bookmarkStart w:id="280" w:name="_Toc297123494"/>
      <w:r/>
      <w:bookmarkStart w:id="281" w:name="_Toc296347160"/>
      <w:r/>
      <w:bookmarkStart w:id="282" w:name="_Toc296890989"/>
      <w:r/>
      <w:bookmarkStart w:id="283" w:name="_Toc303539104"/>
      <w:r/>
      <w:bookmarkStart w:id="284" w:name="_Toc297048347"/>
      <w:r/>
      <w:bookmarkStart w:id="285" w:name="_Toc300934947"/>
      <w:r/>
      <w:bookmarkStart w:id="286" w:name="_Toc296503161"/>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bookmarkStart w:id="287" w:name="_Toc312677990"/>
      <w:r/>
      <w:bookmarkStart w:id="288" w:name="_Toc318581159"/>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.2分包的确定</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允许分包的专业工程包括：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其他关于分包的约定：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分包合同价款</w:t>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关于分包合同价款支付的约定：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287"/>
      <w:bookmarkEnd w:id="288"/>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工程照管与成品、半成品保护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承包人负责照管工程及工程相关的材料、工程设备的起始时间：</w:t>
      </w:r>
      <w:r>
        <w:rPr>
          <w:rFonts w:hint="eastAsia" w:ascii="宋体" w:hAnsi="宋体" w:eastAsia="宋体"/>
          <w:color w:val="auto"/>
          <w:sz w:val="24"/>
          <w:szCs w:val="24"/>
          <w:highlight w:val="none"/>
          <w:u w:val="single"/>
        </w:rPr>
        <w:t xml:space="preserve">从承包人设备、材料进场之日起，到竣工移交手续办理之日止。</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 履约担保</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承包人是否提供履约担保：</w:t>
      </w:r>
      <w:r>
        <w:rPr>
          <w:rFonts w:hint="eastAsia" w:ascii="宋体" w:hAnsi="宋体" w:eastAsia="宋体"/>
          <w:color w:val="auto"/>
          <w:sz w:val="24"/>
          <w:szCs w:val="24"/>
          <w:highlight w:val="none"/>
          <w:u w:val="single"/>
        </w:rPr>
        <w:t xml:space="preserve">提供</w:t>
      </w:r>
      <w:r>
        <w:rPr>
          <w:rFonts w:hint="eastAsia" w:ascii="宋体" w:hAnsi="宋体" w:eastAsia="宋体"/>
          <w:color w:val="auto"/>
          <w:sz w:val="24"/>
          <w:szCs w:val="24"/>
          <w:highlight w:val="none"/>
        </w:rPr>
        <w:t xml:space="preserve">。</w:t>
      </w:r>
      <w:r/>
    </w:p>
    <w:p>
      <w:pPr>
        <w:ind w:firstLine="480"/>
        <w:pageBreakBefore w:val="0"/>
        <w:spacing w:line="360" w:lineRule="auto"/>
        <w:widowControl w:val="off"/>
        <w:rPr>
          <w:rFonts w:hint="eastAsia" w:ascii="宋体" w:hAnsi="宋体" w:eastAsia="宋体"/>
          <w:color w:val="auto"/>
          <w:sz w:val="24"/>
          <w:szCs w:val="24"/>
          <w:highlight w:val="none"/>
          <w:u w:val="none"/>
        </w:rPr>
      </w:pPr>
      <w:r>
        <w:rPr>
          <w:rFonts w:hint="eastAsia" w:ascii="宋体" w:hAnsi="宋体" w:eastAsia="宋体"/>
          <w:color w:val="auto"/>
          <w:sz w:val="24"/>
          <w:szCs w:val="24"/>
          <w:highlight w:val="none"/>
          <w:u w:val="none"/>
        </w:rPr>
        <w:t xml:space="preserve">承包人提供履约担保的形式、金额及期限的：</w:t>
      </w:r>
      <w:r>
        <w:rPr>
          <w:rFonts w:hint="eastAsia" w:ascii="宋体" w:hAnsi="宋体" w:eastAsia="宋体"/>
          <w:color w:val="auto"/>
          <w:sz w:val="24"/>
          <w:szCs w:val="24"/>
          <w:u w:val="none"/>
        </w:rPr>
        <w:t xml:space="preserve">提供合同价款的10%作为履约保证金，其中：工期履约保证金为3%，质量履约保证金为3%，安全履约保证金为2%，竣工资料履约保证金为1%，廉政履约保证金为1%；</w:t>
      </w:r>
      <w:r>
        <w:rPr>
          <w:rFonts w:hint="eastAsia" w:ascii="宋体" w:hAnsi="宋体" w:eastAsia="宋体" w:cs="宋体"/>
          <w:bCs/>
          <w:color w:val="auto"/>
          <w:sz w:val="24"/>
          <w:szCs w:val="24"/>
          <w:highlight w:val="none"/>
          <w:u w:val="none"/>
          <w:lang w:eastAsia="zh-CN"/>
        </w:rPr>
        <w:t xml:space="preserve">履约保证金以</w:t>
      </w:r>
      <w:r>
        <w:rPr>
          <w:rFonts w:hint="eastAsia" w:ascii="宋体" w:hAnsi="宋体" w:eastAsia="宋体" w:cs="宋体"/>
          <w:bCs/>
          <w:i w:val="0"/>
          <w:iCs w:val="0"/>
          <w:color w:val="auto"/>
          <w:sz w:val="24"/>
          <w:szCs w:val="24"/>
        </w:rPr>
        <w:t xml:space="preserve">支票、汇票、本票或者金融机构、担保机构出具的保函</w:t>
      </w:r>
      <w:r>
        <w:rPr>
          <w:rFonts w:hint="eastAsia" w:ascii="宋体" w:hAnsi="宋体" w:eastAsia="宋体" w:cs="宋体"/>
          <w:bCs/>
          <w:color w:val="auto"/>
          <w:sz w:val="24"/>
          <w:szCs w:val="24"/>
          <w:highlight w:val="none"/>
          <w:lang w:val="en-US" w:eastAsia="zh-CN"/>
        </w:rPr>
        <w:t xml:space="preserve">（需为不可撤销的见索即付独立保函）</w:t>
      </w:r>
      <w:r>
        <w:rPr>
          <w:rFonts w:hint="eastAsia" w:ascii="宋体" w:hAnsi="宋体" w:eastAsia="宋体" w:cs="宋体"/>
          <w:bCs/>
          <w:color w:val="auto"/>
          <w:sz w:val="24"/>
          <w:szCs w:val="24"/>
          <w:highlight w:val="none"/>
        </w:rPr>
        <w:t xml:space="preserve">等形式提交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若</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val="en-US" w:eastAsia="zh-CN"/>
        </w:rPr>
        <w:t xml:space="preserve">采用保函形式提交的，</w:t>
      </w:r>
      <w:r>
        <w:rPr>
          <w:rFonts w:hint="eastAsia" w:ascii="宋体" w:hAnsi="宋体" w:eastAsia="宋体" w:cs="宋体"/>
          <w:bCs/>
          <w:color w:val="auto"/>
          <w:sz w:val="24"/>
          <w:szCs w:val="24"/>
          <w:highlight w:val="none"/>
          <w:lang w:eastAsia="zh-CN"/>
        </w:rPr>
        <w:t xml:space="preserve">保函担保有效期开具时间为合同约定工期基础延长</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个月）</w:t>
      </w:r>
      <w:r>
        <w:rPr>
          <w:rFonts w:hint="eastAsia" w:ascii="宋体" w:hAnsi="宋体" w:eastAsia="宋体" w:cs="宋体"/>
          <w:bCs/>
          <w:color w:val="auto"/>
          <w:sz w:val="24"/>
          <w:szCs w:val="24"/>
          <w:highlight w:val="none"/>
          <w:u w:val="none"/>
          <w:lang w:eastAsia="zh-CN"/>
        </w:rPr>
        <w:t xml:space="preserve">。提交时间为本合同签订前。上述履约保证金分别</w:t>
      </w:r>
      <w:r>
        <w:rPr>
          <w:rFonts w:hint="eastAsia" w:ascii="宋体" w:hAnsi="宋体" w:cs="宋体"/>
          <w:bCs/>
          <w:color w:val="auto"/>
          <w:sz w:val="24"/>
          <w:szCs w:val="24"/>
          <w:highlight w:val="none"/>
          <w:u w:val="none"/>
          <w:lang w:eastAsia="zh-CN"/>
        </w:rPr>
        <w:t xml:space="preserve">地</w:t>
      </w:r>
      <w:r>
        <w:rPr>
          <w:rFonts w:hint="eastAsia" w:ascii="宋体" w:hAnsi="宋体" w:eastAsia="宋体" w:cs="宋体"/>
          <w:bCs/>
          <w:color w:val="auto"/>
          <w:sz w:val="24"/>
          <w:szCs w:val="24"/>
          <w:highlight w:val="none"/>
          <w:u w:val="none"/>
          <w:lang w:eastAsia="zh-CN"/>
        </w:rPr>
        <w:t xml:space="preserve">、共同地承担合同义务和责任</w:t>
      </w:r>
      <w:r>
        <w:rPr>
          <w:rFonts w:hint="eastAsia" w:ascii="宋体" w:hAnsi="宋体" w:eastAsia="宋体"/>
          <w:color w:val="auto"/>
          <w:sz w:val="24"/>
          <w:szCs w:val="24"/>
          <w:highlight w:val="none"/>
          <w:u w:val="none"/>
        </w:rPr>
        <w:t xml:space="preserve">。</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双方约定本工程的履约担保的效力期间为工程开工至本合同范围内的所有工程项目完工并验收合格。履约保证金依约剩余的余额，在工程竣工验收合格后可申请退还；依约扣除的履约保证金不予退还。采购人逾期退还履约保证金的，按照同期银行活期存款利率承担违约责任。</w:t>
      </w:r>
      <w:r/>
    </w:p>
    <w:p>
      <w:pPr>
        <w:pStyle w:val="1140"/>
        <w:ind w:firstLine="482"/>
        <w:pageBreakBefore w:val="0"/>
        <w:spacing w:before="120" w:after="120" w:line="360" w:lineRule="auto"/>
        <w:rPr>
          <w:rFonts w:hint="eastAsia" w:ascii="宋体" w:hAnsi="宋体"/>
          <w:color w:val="auto"/>
          <w:sz w:val="24"/>
          <w:szCs w:val="24"/>
          <w:highlight w:val="none"/>
        </w:rPr>
      </w:pPr>
      <w:r/>
      <w:bookmarkStart w:id="289" w:name="_Toc351203636"/>
      <w:r>
        <w:rPr>
          <w:rFonts w:hint="eastAsia" w:ascii="宋体" w:hAnsi="宋体"/>
          <w:color w:val="auto"/>
          <w:sz w:val="24"/>
          <w:szCs w:val="24"/>
          <w:highlight w:val="none"/>
        </w:rPr>
        <w:t xml:space="preserve">4</w:t>
      </w:r>
      <w:bookmarkStart w:id="290" w:name="_Toc296346663"/>
      <w:r/>
      <w:bookmarkStart w:id="291" w:name="_Toc292559871"/>
      <w:r/>
      <w:bookmarkStart w:id="292" w:name="_Toc296891202"/>
      <w:r/>
      <w:bookmarkStart w:id="293" w:name="_Toc297120462"/>
      <w:r/>
      <w:bookmarkStart w:id="294" w:name="_Toc296503162"/>
      <w:r/>
      <w:bookmarkStart w:id="295" w:name="_Toc292559366"/>
      <w:r/>
      <w:bookmarkStart w:id="296" w:name="_Toc296944501"/>
      <w:r/>
      <w:bookmarkStart w:id="297" w:name="_Toc296890990"/>
      <w:r/>
      <w:bookmarkStart w:id="298" w:name="_Toc267251413"/>
      <w:r/>
      <w:bookmarkStart w:id="299" w:name="_Toc296347161"/>
      <w:r/>
      <w:bookmarkStart w:id="300" w:name="_Toc297048348"/>
      <w:r>
        <w:rPr>
          <w:rFonts w:hint="eastAsia" w:ascii="宋体" w:hAnsi="宋体"/>
          <w:color w:val="auto"/>
          <w:sz w:val="24"/>
          <w:szCs w:val="24"/>
          <w:highlight w:val="none"/>
        </w:rPr>
        <w:t xml:space="preserve">. 监</w:t>
      </w:r>
      <w:bookmarkEnd w:id="290"/>
      <w:r/>
      <w:bookmarkEnd w:id="291"/>
      <w:r/>
      <w:bookmarkEnd w:id="292"/>
      <w:r/>
      <w:bookmarkEnd w:id="293"/>
      <w:r/>
      <w:bookmarkEnd w:id="294"/>
      <w:r/>
      <w:bookmarkEnd w:id="295"/>
      <w:r/>
      <w:bookmarkEnd w:id="296"/>
      <w:r/>
      <w:bookmarkEnd w:id="297"/>
      <w:r/>
      <w:bookmarkEnd w:id="298"/>
      <w:r/>
      <w:bookmarkEnd w:id="299"/>
      <w:r/>
      <w:bookmarkEnd w:id="300"/>
      <w:r>
        <w:rPr>
          <w:rFonts w:hint="eastAsia" w:ascii="宋体" w:hAnsi="宋体"/>
          <w:color w:val="auto"/>
          <w:sz w:val="24"/>
          <w:szCs w:val="24"/>
          <w:highlight w:val="none"/>
        </w:rPr>
        <w:t xml:space="preserve">理人</w:t>
      </w:r>
      <w:bookmarkEnd w:id="289"/>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4.1监理人的一般规定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关于监理人的监理内容：</w:t>
      </w:r>
      <w:r>
        <w:rPr>
          <w:rFonts w:hint="eastAsia" w:ascii="宋体" w:hAnsi="宋体" w:eastAsia="宋体"/>
          <w:color w:val="auto"/>
          <w:sz w:val="24"/>
          <w:szCs w:val="24"/>
          <w:highlight w:val="none"/>
          <w:u w:val="single"/>
        </w:rPr>
        <w:t xml:space="preserve">见本工程《建设工程委托监理合同》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关于监理人的监理权限：</w:t>
      </w:r>
      <w:r>
        <w:rPr>
          <w:rFonts w:hint="eastAsia" w:ascii="宋体" w:hAnsi="宋体" w:eastAsia="宋体"/>
          <w:color w:val="auto"/>
          <w:sz w:val="24"/>
          <w:szCs w:val="24"/>
          <w:highlight w:val="none"/>
          <w:u w:val="single"/>
        </w:rPr>
        <w:t xml:space="preserve">见本工程《建设工程委托监理合同》</w:t>
      </w: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关于监理人在施工现场的办公场所、生活场所的提供和费用承担的约定：</w:t>
      </w:r>
      <w:r>
        <w:rPr>
          <w:rFonts w:hint="eastAsia" w:ascii="宋体" w:hAnsi="宋体" w:eastAsia="宋体"/>
          <w:color w:val="auto"/>
          <w:sz w:val="24"/>
          <w:szCs w:val="24"/>
          <w:highlight w:val="none"/>
          <w:u w:val="single"/>
        </w:rPr>
        <w:t xml:space="preserve">提供2间办公用房（30</w:t>
      </w:r>
      <w:r>
        <w:rPr>
          <w:rFonts w:hint="eastAsia" w:ascii="宋体" w:hAnsi="宋体"/>
          <w:color w:val="auto"/>
          <w:sz w:val="24"/>
          <w:szCs w:val="24"/>
          <w:highlight w:val="none"/>
          <w:u w:val="single"/>
          <w:lang w:eastAsia="zh-CN"/>
        </w:rPr>
        <w:t xml:space="preserve">平方米</w:t>
      </w:r>
      <w:r>
        <w:rPr>
          <w:rFonts w:hint="eastAsia" w:ascii="宋体" w:hAnsi="宋体" w:eastAsia="宋体"/>
          <w:color w:val="auto"/>
          <w:sz w:val="24"/>
          <w:szCs w:val="24"/>
          <w:highlight w:val="none"/>
          <w:u w:val="single"/>
        </w:rPr>
        <w:t xml:space="preserve">），费用由承包人承担，不再单独计取费用</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4.2 监理人员</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总监理工程师：</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职    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监理工程师执业资格证书号：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关于监理人的其他约定：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 商定或确定</w:t>
      </w:r>
      <w:r/>
    </w:p>
    <w:p>
      <w:pPr>
        <w:ind w:firstLine="480"/>
        <w:pageBreakBefore w:val="0"/>
        <w:spacing w:line="360" w:lineRule="auto"/>
        <w:rPr>
          <w:rFonts w:hint="eastAsia" w:ascii="宋体" w:hAnsi="宋体" w:eastAsia="宋体"/>
          <w:color w:val="auto"/>
          <w:sz w:val="24"/>
          <w:szCs w:val="24"/>
          <w:highlight w:val="none"/>
        </w:rPr>
      </w:pPr>
      <w:r/>
      <w:bookmarkStart w:id="301" w:name="_Toc267251418"/>
      <w:r>
        <w:rPr>
          <w:rFonts w:hint="eastAsia" w:ascii="宋体" w:hAnsi="宋体" w:eastAsia="宋体"/>
          <w:color w:val="auto"/>
          <w:sz w:val="24"/>
          <w:szCs w:val="24"/>
          <w:highlight w:val="none"/>
        </w:rPr>
        <w:t xml:space="preserve">在发包人和承包人不能通过协商达成一致意见时，发包人授权监理人对以下事项进行确定：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40"/>
        <w:ind w:firstLine="482"/>
        <w:pageBreakBefore w:val="0"/>
        <w:spacing w:line="360" w:lineRule="auto"/>
        <w:rPr>
          <w:rFonts w:hint="eastAsia" w:ascii="宋体" w:hAnsi="宋体"/>
          <w:color w:val="auto"/>
          <w:sz w:val="24"/>
          <w:szCs w:val="24"/>
          <w:highlight w:val="none"/>
        </w:rPr>
      </w:pPr>
      <w:r/>
      <w:bookmarkStart w:id="302" w:name="_Toc351203637"/>
      <w:r>
        <w:rPr>
          <w:rFonts w:hint="eastAsia" w:ascii="宋体" w:hAnsi="宋体"/>
          <w:color w:val="auto"/>
          <w:sz w:val="24"/>
          <w:szCs w:val="24"/>
          <w:highlight w:val="none"/>
        </w:rPr>
        <w:t xml:space="preserve">5</w:t>
      </w:r>
      <w:bookmarkEnd w:id="301"/>
      <w:r/>
      <w:bookmarkStart w:id="303" w:name="_Toc296891203"/>
      <w:r/>
      <w:bookmarkStart w:id="304" w:name="_Toc296347162"/>
      <w:r/>
      <w:bookmarkStart w:id="305" w:name="_Toc297048349"/>
      <w:r/>
      <w:bookmarkStart w:id="306" w:name="_Toc297120463"/>
      <w:r/>
      <w:bookmarkStart w:id="307" w:name="_Toc296503163"/>
      <w:r/>
      <w:bookmarkStart w:id="308" w:name="_Toc296346664"/>
      <w:r/>
      <w:bookmarkStart w:id="309" w:name="_Toc296890991"/>
      <w:r/>
      <w:bookmarkStart w:id="310" w:name="_Toc292559367"/>
      <w:r/>
      <w:bookmarkStart w:id="311" w:name="_Toc292559872"/>
      <w:r/>
      <w:bookmarkStart w:id="312" w:name="_Toc296944502"/>
      <w:r>
        <w:rPr>
          <w:rFonts w:hint="eastAsia" w:ascii="宋体" w:hAnsi="宋体"/>
          <w:color w:val="auto"/>
          <w:sz w:val="24"/>
          <w:szCs w:val="24"/>
          <w:highlight w:val="none"/>
        </w:rPr>
        <w:t xml:space="preserve">. 工程质量</w:t>
      </w:r>
      <w:bookmarkEnd w:id="302"/>
      <w:r/>
      <w:r/>
    </w:p>
    <w:p>
      <w:pPr>
        <w:ind w:firstLine="482"/>
        <w:pageBreakBefore w:val="0"/>
        <w:spacing w:line="360" w:lineRule="auto"/>
        <w:rPr>
          <w:rFonts w:hint="eastAsia" w:ascii="宋体" w:hAnsi="宋体" w:eastAsia="宋体"/>
          <w:b/>
          <w:color w:val="auto"/>
          <w:sz w:val="24"/>
          <w:szCs w:val="24"/>
          <w:highlight w:val="none"/>
        </w:rPr>
        <w:outlineLvl w:val="0"/>
      </w:pPr>
      <w:r/>
      <w:bookmarkStart w:id="313" w:name="_Toc20002"/>
      <w:r>
        <w:rPr>
          <w:rFonts w:hint="eastAsia" w:ascii="宋体" w:hAnsi="宋体" w:eastAsia="宋体"/>
          <w:b/>
          <w:color w:val="auto"/>
          <w:sz w:val="24"/>
          <w:szCs w:val="24"/>
          <w:highlight w:val="none"/>
        </w:rPr>
        <w:t xml:space="preserve">5.1 质量要求</w:t>
      </w:r>
      <w:bookmarkEnd w:id="313"/>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5</w:t>
      </w:r>
      <w:bookmarkStart w:id="314" w:name="_Toc297123496"/>
      <w:r/>
      <w:bookmarkStart w:id="315" w:name="_Toc303539106"/>
      <w:r/>
      <w:bookmarkStart w:id="316" w:name="_Toc304295527"/>
      <w:r/>
      <w:bookmarkStart w:id="317" w:name="_Toc300934949"/>
      <w:r/>
      <w:bookmarkStart w:id="318" w:name="_Toc312677997"/>
      <w:r/>
      <w:bookmarkStart w:id="319" w:name="_Toc297216155"/>
      <w:r/>
      <w:bookmarkStart w:id="320" w:name="_Toc318581164"/>
      <w:r>
        <w:rPr>
          <w:rFonts w:hint="eastAsia" w:ascii="宋体" w:hAnsi="宋体" w:eastAsia="宋体"/>
          <w:color w:val="auto"/>
          <w:sz w:val="24"/>
          <w:szCs w:val="24"/>
          <w:highlight w:val="none"/>
        </w:rPr>
        <w:t xml:space="preserve">.1.1 特殊质量标准和要求：</w:t>
      </w:r>
      <w:r>
        <w:rPr>
          <w:rFonts w:hint="eastAsia" w:ascii="宋体" w:hAnsi="宋体" w:eastAsia="宋体"/>
          <w:color w:val="auto"/>
          <w:sz w:val="24"/>
          <w:szCs w:val="24"/>
          <w:highlight w:val="none"/>
          <w:u w:val="single"/>
        </w:rPr>
        <w:t xml:space="preserve">工程质量达不到本合同约定要求，发包人有权没收全部的质量保证金，施工单位须无偿返工直至达到合格。</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技术处理（含地基处理、暗河清理、回填等）必须满足施工要求，处理方法在施工前必须获得设计单位的书面同意。</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关于工程奖项的约定：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outlineLvl w:val="0"/>
      </w:pPr>
      <w:r/>
      <w:bookmarkStart w:id="321" w:name="_Toc24386"/>
      <w:r>
        <w:rPr>
          <w:rFonts w:hint="eastAsia" w:ascii="宋体" w:hAnsi="宋体" w:eastAsia="宋体"/>
          <w:b/>
          <w:color w:val="auto"/>
          <w:sz w:val="24"/>
          <w:szCs w:val="24"/>
          <w:highlight w:val="none"/>
        </w:rPr>
        <w:t xml:space="preserve">5.</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隐蔽工程检查</w:t>
      </w:r>
      <w:bookmarkEnd w:id="321"/>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承包人提前通知监理人隐蔽工程检查的期限的约定：</w:t>
      </w:r>
      <w:r>
        <w:rPr>
          <w:rFonts w:hint="eastAsia" w:ascii="宋体" w:hAnsi="宋体" w:eastAsia="宋体"/>
          <w:color w:val="auto"/>
          <w:sz w:val="24"/>
          <w:szCs w:val="24"/>
          <w:highlight w:val="none"/>
          <w:u w:val="single"/>
        </w:rPr>
        <w:t xml:space="preserve">共同检查前24小时书面通知监理人</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监理人不能按时进行检查时，应提前</w:t>
      </w:r>
      <w:r>
        <w:rPr>
          <w:rFonts w:hint="eastAsia" w:ascii="宋体" w:hAnsi="宋体" w:eastAsia="宋体"/>
          <w:color w:val="auto"/>
          <w:sz w:val="24"/>
          <w:szCs w:val="24"/>
          <w:highlight w:val="none"/>
          <w:u w:val="single"/>
        </w:rPr>
        <w:t xml:space="preserve">12</w:t>
      </w:r>
      <w:r>
        <w:rPr>
          <w:rFonts w:hint="eastAsia" w:ascii="宋体" w:hAnsi="宋体" w:eastAsia="宋体"/>
          <w:color w:val="auto"/>
          <w:sz w:val="24"/>
          <w:szCs w:val="24"/>
          <w:highlight w:val="none"/>
        </w:rPr>
        <w:t xml:space="preserve">小时提交书面延期要求。</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关于延期最长不得超过：</w:t>
      </w:r>
      <w:r>
        <w:rPr>
          <w:rFonts w:hint="eastAsia" w:ascii="宋体" w:hAnsi="宋体" w:eastAsia="宋体"/>
          <w:color w:val="auto"/>
          <w:sz w:val="24"/>
          <w:szCs w:val="24"/>
          <w:highlight w:val="none"/>
          <w:u w:val="single"/>
        </w:rPr>
        <w:t xml:space="preserve">24</w:t>
      </w:r>
      <w:r>
        <w:rPr>
          <w:rFonts w:hint="eastAsia" w:ascii="宋体" w:hAnsi="宋体" w:eastAsia="宋体"/>
          <w:color w:val="auto"/>
          <w:sz w:val="24"/>
          <w:szCs w:val="24"/>
          <w:highlight w:val="none"/>
        </w:rPr>
        <w:t xml:space="preserve">小时。</w:t>
      </w:r>
      <w:r/>
    </w:p>
    <w:p>
      <w:pPr>
        <w:pStyle w:val="1140"/>
        <w:ind w:firstLine="482"/>
        <w:pageBreakBefore w:val="0"/>
        <w:spacing w:line="360" w:lineRule="auto"/>
        <w:rPr>
          <w:rFonts w:hint="eastAsia" w:ascii="宋体" w:hAnsi="宋体"/>
          <w:color w:val="auto"/>
          <w:sz w:val="24"/>
          <w:szCs w:val="24"/>
          <w:highlight w:val="none"/>
        </w:rPr>
      </w:pPr>
      <w:r/>
      <w:bookmarkStart w:id="322" w:name="_Toc351203638"/>
      <w:r>
        <w:rPr>
          <w:rFonts w:hint="eastAsia" w:ascii="宋体" w:hAnsi="宋体"/>
          <w:color w:val="auto"/>
          <w:sz w:val="24"/>
          <w:szCs w:val="24"/>
          <w:highlight w:val="none"/>
        </w:rPr>
        <w:t xml:space="preserve">6. 安全文明施工与环境保护</w:t>
      </w:r>
      <w:bookmarkEnd w:id="322"/>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6.1安全文明施工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6.1.1 项目安全生产的达标目标及相应事项的约定：</w:t>
      </w:r>
      <w:r>
        <w:rPr>
          <w:rFonts w:hint="eastAsia" w:ascii="宋体" w:hAnsi="宋体" w:eastAsia="宋体"/>
          <w:color w:val="auto"/>
          <w:sz w:val="24"/>
          <w:szCs w:val="24"/>
          <w:highlight w:val="none"/>
          <w:u w:val="single"/>
        </w:rPr>
        <w:t xml:space="preserve">要求达到《建筑施工安全检查标准》（JGJ59-2011）标准，承包人应严格按工程建设安全生产的有关规定，采取安全措施组织施工。若发生安全责任事故，一切责任由承包人承担。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承包人使用的安全防护用具、机械设备、施工机具及配件，应当具有生产（制造）许可证、产品合格证，并在进入施工现场前进行查验，经监理工程师签字确认后方可使用；</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提供和维修施工使用照明、警示照明、围栏设施，指示标志、警告标志、禁止标志等安全防护措施。</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承包人若不按工程建设安全生产的有关规定组织施工及设置安全设施，或发生较大安全责任事故的，发包人有权没收安全保证金。</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关于治安保卫的特别约定：</w:t>
      </w:r>
      <w:r>
        <w:rPr>
          <w:rFonts w:hint="eastAsia" w:ascii="宋体" w:hAnsi="宋体" w:eastAsia="宋体"/>
          <w:color w:val="auto"/>
          <w:sz w:val="24"/>
          <w:szCs w:val="24"/>
          <w:highlight w:val="none"/>
          <w:u w:val="single"/>
        </w:rPr>
        <w:t xml:space="preserve">按通用条款执行</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关于编制施工场地治安管理计划的约定：</w:t>
      </w:r>
      <w:r>
        <w:rPr>
          <w:rFonts w:hint="eastAsia" w:ascii="宋体" w:hAnsi="宋体" w:eastAsia="宋体"/>
          <w:color w:val="auto"/>
          <w:sz w:val="24"/>
          <w:szCs w:val="24"/>
          <w:highlight w:val="none"/>
          <w:u w:val="single"/>
        </w:rPr>
        <w:t xml:space="preserve">承包人在开工前提供施工场地治安管理计划，负责夜间和非夜间的安全巡逻和保卫，统一管理施工场地治安保卫事项并承担相应责任。</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文明施工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合同当事人对文明施工的要求：</w:t>
      </w:r>
      <w:r>
        <w:rPr>
          <w:rFonts w:hint="eastAsia" w:ascii="宋体" w:hAnsi="宋体" w:eastAsia="宋体"/>
          <w:color w:val="auto"/>
          <w:sz w:val="24"/>
          <w:szCs w:val="24"/>
          <w:highlight w:val="none"/>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现场施工扬尘控制，必须严格按《通州区扬尘整治“654”专项行动方案》要求逐项落实，现场应编制“扬尘”控制专项方案报监理方审核，如措施不到位，处 </w:t>
      </w:r>
      <w:r>
        <w:rPr>
          <w:rFonts w:ascii="Calibri-Bold" w:hAnsi="Calibri-Bold" w:eastAsia="宋体"/>
          <w:b/>
          <w:color w:val="auto"/>
          <w:sz w:val="24"/>
          <w:szCs w:val="24"/>
          <w:highlight w:val="none"/>
          <w:u w:val="single"/>
        </w:rPr>
        <w:t xml:space="preserve">1</w:t>
      </w:r>
      <w:r>
        <w:rPr>
          <w:rFonts w:hint="eastAsia" w:ascii="MS Mincho" w:hAnsi="MS Mincho" w:eastAsia="宋体" w:cs="MS Mincho"/>
          <w:color w:val="auto"/>
          <w:sz w:val="24"/>
          <w:szCs w:val="24"/>
          <w:highlight w:val="none"/>
          <w:u w:val="single"/>
        </w:rPr>
        <w:t xml:space="preserve">〜</w:t>
      </w:r>
      <w:r>
        <w:rPr>
          <w:rFonts w:ascii="Calibri-Bold" w:hAnsi="Calibri-Bold" w:eastAsia="宋体"/>
          <w:b/>
          <w:color w:val="auto"/>
          <w:sz w:val="24"/>
          <w:szCs w:val="24"/>
          <w:highlight w:val="none"/>
          <w:u w:val="single"/>
        </w:rPr>
        <w:t xml:space="preserve">5 </w:t>
      </w:r>
      <w:r>
        <w:rPr>
          <w:rFonts w:hint="eastAsia" w:ascii="宋体" w:hAnsi="宋体" w:eastAsia="宋体"/>
          <w:color w:val="auto"/>
          <w:sz w:val="24"/>
          <w:szCs w:val="24"/>
          <w:highlight w:val="none"/>
          <w:u w:val="single"/>
        </w:rPr>
        <w:t xml:space="preserve">万元违约金。</w:t>
      </w:r>
      <w:r>
        <w:rPr>
          <w:color w:val="auto"/>
          <w:sz w:val="24"/>
          <w:szCs w:val="24"/>
          <w:highlight w:val="none"/>
          <w:u w:val="singl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关于安全文明施工费支付比例和支付期限的约定：</w:t>
      </w:r>
      <w:bookmarkEnd w:id="314"/>
      <w:r/>
      <w:bookmarkEnd w:id="315"/>
      <w:r/>
      <w:bookmarkEnd w:id="316"/>
      <w:r/>
      <w:bookmarkEnd w:id="317"/>
      <w:r/>
      <w:bookmarkEnd w:id="318"/>
      <w:r/>
      <w:bookmarkEnd w:id="319"/>
      <w:r/>
      <w:bookmarkEnd w:id="320"/>
      <w:r/>
      <w:bookmarkStart w:id="323" w:name="_Toc351203639"/>
      <w:r>
        <w:rPr>
          <w:rFonts w:hint="eastAsia" w:ascii="宋体" w:hAnsi="宋体" w:eastAsia="宋体"/>
          <w:color w:val="auto"/>
          <w:sz w:val="24"/>
          <w:szCs w:val="24"/>
          <w:highlight w:val="none"/>
          <w:u w:val="single"/>
        </w:rPr>
        <w:t xml:space="preserve">纳入合同价款支付。</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6.1.</w:t>
      </w:r>
      <w:r>
        <w:rPr>
          <w:rFonts w:hint="eastAsia" w:ascii="宋体" w:hAnsi="宋体" w:eastAsia="宋体"/>
          <w:color w:val="auto"/>
          <w:sz w:val="24"/>
          <w:szCs w:val="24"/>
          <w:highlight w:val="none"/>
          <w:u w:val="single"/>
          <w:lang w:val="en-US" w:eastAsia="zh-CN"/>
        </w:rPr>
        <w:t xml:space="preserve">5</w:t>
      </w:r>
      <w:r>
        <w:rPr>
          <w:rFonts w:hint="eastAsia" w:ascii="宋体" w:hAnsi="宋体" w:eastAsia="宋体"/>
          <w:color w:val="auto"/>
          <w:sz w:val="24"/>
          <w:szCs w:val="24"/>
          <w:highlight w:val="none"/>
          <w:u w:val="single"/>
        </w:rPr>
        <w:t xml:space="preserve">安全生产责任承包人应严格按《建设工程安全生产管理条例》等</w:t>
      </w:r>
      <w:r>
        <w:rPr>
          <w:rFonts w:hint="eastAsia" w:ascii="宋体" w:hAnsi="宋体" w:eastAsia="宋体"/>
          <w:color w:val="auto"/>
          <w:sz w:val="24"/>
          <w:szCs w:val="24"/>
          <w:highlight w:val="none"/>
          <w:u w:val="single"/>
          <w:lang w:eastAsia="zh-CN"/>
        </w:rPr>
        <w:t xml:space="preserve">法律法规</w:t>
      </w:r>
      <w:r>
        <w:rPr>
          <w:rFonts w:hint="eastAsia" w:ascii="宋体" w:hAnsi="宋体" w:eastAsia="宋体"/>
          <w:color w:val="auto"/>
          <w:sz w:val="24"/>
          <w:szCs w:val="24"/>
          <w:highlight w:val="none"/>
          <w:u w:val="single"/>
        </w:rPr>
        <w:t xml:space="preserve">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损害的毗邻建筑物、构筑物和地下管线等，应当采取专项防护措施。承包人应当遵守有关环境保护</w:t>
      </w:r>
      <w:r>
        <w:rPr>
          <w:rFonts w:hint="eastAsia" w:ascii="宋体" w:hAnsi="宋体" w:eastAsia="宋体"/>
          <w:color w:val="auto"/>
          <w:sz w:val="24"/>
          <w:szCs w:val="24"/>
          <w:highlight w:val="none"/>
          <w:u w:val="single"/>
          <w:lang w:eastAsia="zh-CN"/>
        </w:rPr>
        <w:t xml:space="preserve">法律法规</w:t>
      </w:r>
      <w:r>
        <w:rPr>
          <w:rFonts w:hint="eastAsia" w:ascii="宋体" w:hAnsi="宋体" w:eastAsia="宋体"/>
          <w:color w:val="auto"/>
          <w:sz w:val="24"/>
          <w:szCs w:val="24"/>
          <w:highlight w:val="none"/>
          <w:u w:val="single"/>
        </w:rPr>
        <w:t xml:space="preserve">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 工期和进度</w:t>
      </w:r>
      <w:bookmarkEnd w:id="323"/>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7.1 施工组织设计</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7.1.1 合同当事人约定的施工组织设计应包括的其他内容：</w:t>
      </w:r>
      <w:r>
        <w:rPr>
          <w:rFonts w:hint="eastAsia" w:ascii="宋体" w:hAnsi="宋体" w:eastAsia="宋体"/>
          <w:color w:val="auto"/>
          <w:sz w:val="24"/>
          <w:szCs w:val="24"/>
          <w:highlight w:val="none"/>
          <w:u w:val="single"/>
        </w:rPr>
        <w:t xml:space="preserve">按招标文件约定，招标文件无约定的按通用条款或双方另行约定。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7.1.2 施工组织设计的提交和修改</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承包人提交详细施工组织设计的期限的约定：</w:t>
      </w:r>
      <w:r>
        <w:rPr>
          <w:rFonts w:hint="eastAsia" w:ascii="宋体" w:hAnsi="宋体" w:eastAsia="宋体"/>
          <w:color w:val="auto"/>
          <w:sz w:val="24"/>
          <w:szCs w:val="24"/>
          <w:highlight w:val="none"/>
          <w:u w:val="single"/>
        </w:rPr>
        <w:t xml:space="preserve">开工前7日。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发包人和监理人在收到详细的施工组织设计后确认或提出修改意见的期限：</w:t>
      </w:r>
      <w:r>
        <w:rPr>
          <w:rFonts w:hint="eastAsia" w:ascii="宋体" w:hAnsi="宋体" w:eastAsia="宋体"/>
          <w:color w:val="auto"/>
          <w:sz w:val="24"/>
          <w:szCs w:val="24"/>
          <w:highlight w:val="none"/>
          <w:u w:val="single"/>
        </w:rPr>
        <w:t xml:space="preserve">收到后5天内予以确认或提出修改意见</w:t>
      </w:r>
      <w:r>
        <w:rPr>
          <w:rFonts w:hint="eastAsia" w:ascii="宋体" w:hAnsi="宋体" w:eastAsia="宋体"/>
          <w:b/>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24" w:name="_Toc297123514"/>
      <w:r/>
      <w:bookmarkStart w:id="325" w:name="_Toc300934966"/>
      <w:r/>
      <w:bookmarkStart w:id="326" w:name="_Toc312677479"/>
      <w:r/>
      <w:bookmarkStart w:id="327" w:name="_Toc303539123"/>
      <w:r/>
      <w:bookmarkStart w:id="328" w:name="_Toc304295541"/>
      <w:r/>
      <w:bookmarkStart w:id="329" w:name="_Toc312678005"/>
      <w:r/>
      <w:bookmarkStart w:id="330" w:name="_Toc297216173"/>
      <w:r>
        <w:rPr>
          <w:rFonts w:hint="eastAsia" w:ascii="宋体" w:hAnsi="宋体" w:eastAsia="宋体"/>
          <w:b/>
          <w:color w:val="auto"/>
          <w:sz w:val="24"/>
          <w:szCs w:val="24"/>
          <w:highlight w:val="none"/>
        </w:rPr>
        <w:t xml:space="preserve">.2 施工进度计划</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施工进度计划的修订</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发包人和监理人在收到修订的施工进度计划后确认或提出修改意见的期限：</w:t>
      </w:r>
      <w:r>
        <w:rPr>
          <w:rFonts w:hint="eastAsia" w:ascii="宋体" w:hAnsi="宋体" w:eastAsia="宋体"/>
          <w:color w:val="auto"/>
          <w:sz w:val="24"/>
          <w:szCs w:val="24"/>
          <w:highlight w:val="none"/>
          <w:u w:val="single"/>
        </w:rPr>
        <w:t xml:space="preserve">收到后5天内；</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承包人每周日下午5：00前提供下周计划和本周完成情况统计表（一式</w:t>
      </w:r>
      <w:r>
        <w:rPr>
          <w:rFonts w:hint="eastAsia" w:ascii="宋体" w:hAnsi="宋体" w:eastAsia="宋体" w:cs="宋体"/>
          <w:color w:val="auto"/>
          <w:sz w:val="24"/>
          <w:highlight w:val="none"/>
          <w:u w:val="single"/>
          <w:lang w:eastAsia="zh-CN"/>
        </w:rPr>
        <w:t xml:space="preserve">肆</w:t>
      </w:r>
      <w:r>
        <w:rPr>
          <w:rFonts w:ascii="宋体" w:hAnsi="宋体" w:eastAsia="宋体" w:cs="宋体"/>
          <w:color w:val="auto"/>
          <w:sz w:val="24"/>
          <w:highlight w:val="none"/>
          <w:u w:val="single"/>
        </w:rPr>
        <w:t xml:space="preserve">份）交监理机构。</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ascii="宋体" w:hAnsi="宋体" w:eastAsia="宋体" w:cs="宋体"/>
          <w:color w:val="auto"/>
          <w:sz w:val="24"/>
          <w:highlight w:val="none"/>
          <w:u w:val="single"/>
        </w:rPr>
        <w:t xml:space="preserve">施工月进度计划：第一次在开工前7日；此后在每周日前，将本周进度统计报表及纠偏措施与下周施工进度计划同时提供</w:t>
      </w:r>
      <w:r>
        <w:rPr>
          <w:rFonts w:hint="eastAsia" w:ascii="宋体" w:hAnsi="宋体" w:eastAsia="宋体"/>
          <w:color w:val="auto"/>
          <w:sz w:val="24"/>
          <w:szCs w:val="24"/>
          <w:highlight w:val="none"/>
          <w:u w:val="singl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7.3 开工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7.3.1 开工准备</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关于承包人提交工程开工报审表的期限：</w:t>
      </w:r>
      <w:r>
        <w:rPr>
          <w:rFonts w:hint="eastAsia" w:ascii="宋体" w:hAnsi="宋体" w:eastAsia="宋体"/>
          <w:color w:val="auto"/>
          <w:sz w:val="24"/>
          <w:szCs w:val="24"/>
          <w:highlight w:val="none"/>
          <w:u w:val="single"/>
        </w:rPr>
        <w:t xml:space="preserve">合同签订后、开工前</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关于发包人应完成的其他开工准备工作及期限：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关于承包人应完成的其他开工准备工作及期限：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7.3.2开工通知</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因发包人原因造成监理人未能在计划开工日期之日起</w:t>
      </w:r>
      <w:r>
        <w:rPr>
          <w:rFonts w:hint="eastAsia" w:ascii="宋体" w:hAnsi="宋体" w:eastAsia="宋体"/>
          <w:color w:val="auto"/>
          <w:sz w:val="24"/>
          <w:szCs w:val="24"/>
          <w:highlight w:val="none"/>
          <w:u w:val="single"/>
        </w:rPr>
        <w:t xml:space="preserve">90</w:t>
      </w:r>
      <w:r>
        <w:rPr>
          <w:rFonts w:hint="eastAsia" w:ascii="宋体" w:hAnsi="宋体" w:eastAsia="宋体"/>
          <w:color w:val="auto"/>
          <w:sz w:val="24"/>
          <w:szCs w:val="24"/>
          <w:highlight w:val="none"/>
        </w:rPr>
        <w:t xml:space="preserve">天内发出开工通知的，承包人有权提出价格调整要求，或者解除合同。</w:t>
      </w:r>
      <w:bookmarkEnd w:id="324"/>
      <w:bookmarkEnd w:id="325"/>
      <w:bookmarkEnd w:id="326"/>
      <w:bookmarkEnd w:id="327"/>
      <w:bookmarkEnd w:id="328"/>
      <w:bookmarkEnd w:id="329"/>
      <w:bookmarkEnd w:id="330"/>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7.4 测量放线</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7.4.1发包人通过监理人向承包人提供测量基准点、基准线和水准点及其书面资料的期限：</w:t>
      </w:r>
      <w:r>
        <w:rPr>
          <w:rFonts w:hint="eastAsia" w:ascii="宋体" w:hAnsi="宋体" w:eastAsia="宋体"/>
          <w:color w:val="auto"/>
          <w:sz w:val="24"/>
          <w:szCs w:val="24"/>
          <w:highlight w:val="none"/>
          <w:u w:val="single"/>
        </w:rPr>
        <w:t xml:space="preserve">按通用条款。</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31" w:name="_Toc297216175"/>
      <w:r/>
      <w:bookmarkStart w:id="332" w:name="_Toc304295546"/>
      <w:r/>
      <w:bookmarkStart w:id="333" w:name="_Toc303539125"/>
      <w:r/>
      <w:bookmarkStart w:id="334" w:name="_Toc312677484"/>
      <w:r/>
      <w:bookmarkStart w:id="335" w:name="_Toc312678010"/>
      <w:r/>
      <w:bookmarkStart w:id="336" w:name="_Toc297123516"/>
      <w:r/>
      <w:bookmarkStart w:id="337" w:name="_Toc300934968"/>
      <w:r>
        <w:rPr>
          <w:rFonts w:hint="eastAsia" w:ascii="宋体" w:hAnsi="宋体" w:eastAsia="宋体"/>
          <w:b/>
          <w:color w:val="auto"/>
          <w:sz w:val="24"/>
          <w:szCs w:val="24"/>
          <w:highlight w:val="none"/>
        </w:rPr>
        <w:t xml:space="preserve">.5 工期延误</w:t>
      </w:r>
      <w:bookmarkEnd w:id="331"/>
      <w:bookmarkEnd w:id="332"/>
      <w:bookmarkEnd w:id="333"/>
      <w:bookmarkEnd w:id="334"/>
      <w:bookmarkEnd w:id="335"/>
      <w:bookmarkEnd w:id="336"/>
      <w:bookmarkEnd w:id="337"/>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7.5.1 因发包人原因导致工期延误</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（7）因发包人原因导致工期延误的其他情形：</w:t>
      </w:r>
      <w:r>
        <w:rPr>
          <w:rFonts w:hint="eastAsia" w:ascii="宋体" w:hAnsi="宋体" w:eastAsia="宋体"/>
          <w:color w:val="auto"/>
          <w:sz w:val="24"/>
          <w:szCs w:val="24"/>
          <w:highlight w:val="none"/>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bookmarkStart w:id="338" w:name="_Toc312677486"/>
      <w:r/>
      <w:bookmarkStart w:id="339" w:name="_Toc318581169"/>
      <w:r/>
      <w:bookmarkStart w:id="340" w:name="_Toc312678012"/>
      <w:r/>
      <w:bookmarkStart w:id="341" w:name="_Toc303539127"/>
      <w:r/>
      <w:bookmarkStart w:id="342" w:name="_Toc300934970"/>
      <w:r/>
      <w:bookmarkStart w:id="343" w:name="_Toc297216177"/>
      <w:r/>
      <w:bookmarkStart w:id="344" w:name="_Toc304295548"/>
      <w:r/>
      <w:bookmarkStart w:id="345" w:name="_Toc297123518"/>
      <w:r>
        <w:rPr>
          <w:rFonts w:hint="eastAsia" w:ascii="宋体" w:hAnsi="宋体" w:eastAsia="宋体"/>
          <w:color w:val="auto"/>
          <w:sz w:val="24"/>
          <w:szCs w:val="24"/>
          <w:highlight w:val="none"/>
        </w:rPr>
        <w:t xml:space="preserve">.5.2 因承包人原因导致工期延误</w:t>
      </w:r>
      <w:bookmarkEnd w:id="338"/>
      <w:bookmarkEnd w:id="339"/>
      <w:bookmarkEnd w:id="340"/>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因</w:t>
      </w:r>
      <w:bookmarkStart w:id="346" w:name="_Toc318581170"/>
      <w:r/>
      <w:bookmarkStart w:id="347" w:name="_Toc312678013"/>
      <w:r/>
      <w:bookmarkStart w:id="348" w:name="_Toc312677487"/>
      <w:r>
        <w:rPr>
          <w:rFonts w:hint="eastAsia" w:ascii="宋体" w:hAnsi="宋体" w:eastAsia="宋体"/>
          <w:color w:val="auto"/>
          <w:sz w:val="24"/>
          <w:szCs w:val="24"/>
          <w:highlight w:val="none"/>
        </w:rPr>
        <w:t xml:space="preserve">承包人原因造成工期延误，逾期竣工违约金的计算方法为：</w:t>
      </w:r>
      <w:bookmarkEnd w:id="341"/>
      <w:bookmarkEnd w:id="342"/>
      <w:bookmarkEnd w:id="343"/>
      <w:bookmarkEnd w:id="344"/>
      <w:bookmarkEnd w:id="345"/>
      <w:bookmarkEnd w:id="346"/>
      <w:bookmarkEnd w:id="347"/>
      <w:bookmarkEnd w:id="348"/>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因承包人原因延误总工期每延迟一天罚款10000元，超过15天（含15天）工期履约保证金不退还，并处以工程结算价为基数每天千分之五罚款，其他按通用条款中约定的内容执行。</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因承包人原因未及时开工，按照约定的开工日期，每拖延一天罚款10000元。</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未经发包人书面批准，承包人超过本合同约定的开工日期10天仍未开工或连续停工5天以上的，发包人有权单方解除本合同，对已完成的工程量不支付工程款。</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因承包人原因造成工期延误，逾</w:t>
      </w:r>
      <w:bookmarkStart w:id="349" w:name="_Toc312678014"/>
      <w:r/>
      <w:bookmarkStart w:id="350" w:name="_Toc318581171"/>
      <w:r>
        <w:rPr>
          <w:rFonts w:hint="eastAsia" w:ascii="宋体" w:hAnsi="宋体" w:eastAsia="宋体"/>
          <w:color w:val="auto"/>
          <w:sz w:val="24"/>
          <w:szCs w:val="24"/>
          <w:highlight w:val="none"/>
        </w:rPr>
        <w:t xml:space="preserve">期竣工违约金的上限：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349"/>
      <w:bookmarkEnd w:id="350"/>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51" w:name="_Toc297216178"/>
      <w:r/>
      <w:bookmarkStart w:id="352" w:name="_Toc303539128"/>
      <w:r/>
      <w:bookmarkStart w:id="353" w:name="_Toc312678015"/>
      <w:r/>
      <w:bookmarkStart w:id="354" w:name="_Toc300934971"/>
      <w:r/>
      <w:bookmarkStart w:id="355" w:name="_Toc304295549"/>
      <w:r/>
      <w:bookmarkStart w:id="356" w:name="_Toc297123519"/>
      <w:r>
        <w:rPr>
          <w:rFonts w:hint="eastAsia" w:ascii="宋体" w:hAnsi="宋体" w:eastAsia="宋体"/>
          <w:b/>
          <w:color w:val="auto"/>
          <w:sz w:val="24"/>
          <w:szCs w:val="24"/>
          <w:highlight w:val="none"/>
        </w:rPr>
        <w:t xml:space="preserve">.6 不</w:t>
      </w:r>
      <w:bookmarkEnd w:id="351"/>
      <w:r/>
      <w:bookmarkEnd w:id="352"/>
      <w:r/>
      <w:bookmarkEnd w:id="353"/>
      <w:r/>
      <w:bookmarkEnd w:id="354"/>
      <w:r/>
      <w:bookmarkEnd w:id="355"/>
      <w:r/>
      <w:bookmarkEnd w:id="356"/>
      <w:r>
        <w:rPr>
          <w:rFonts w:hint="eastAsia" w:ascii="宋体" w:hAnsi="宋体" w:eastAsia="宋体"/>
          <w:b/>
          <w:color w:val="auto"/>
          <w:sz w:val="24"/>
          <w:szCs w:val="24"/>
          <w:highlight w:val="none"/>
        </w:rPr>
        <w:t xml:space="preserve">利物质条件</w:t>
      </w:r>
      <w:r/>
    </w:p>
    <w:p>
      <w:pPr>
        <w:ind w:firstLine="480"/>
        <w:jc w:val="left"/>
        <w:pageBreakBefore w:val="0"/>
        <w:spacing w:line="360" w:lineRule="auto"/>
        <w:rPr>
          <w:rFonts w:hint="eastAsia" w:ascii="宋体" w:hAnsi="宋体" w:eastAsia="宋体"/>
          <w:color w:val="auto"/>
          <w:sz w:val="24"/>
          <w:szCs w:val="24"/>
          <w:highlight w:val="none"/>
        </w:rPr>
      </w:pPr>
      <w:r/>
      <w:bookmarkStart w:id="357" w:name="_Toc300934972"/>
      <w:r/>
      <w:bookmarkStart w:id="358" w:name="_Toc297216179"/>
      <w:r/>
      <w:bookmarkStart w:id="359" w:name="_Toc318581172"/>
      <w:r/>
      <w:bookmarkStart w:id="360" w:name="_Toc303539129"/>
      <w:r/>
      <w:bookmarkStart w:id="361" w:name="_Toc304295550"/>
      <w:r/>
      <w:bookmarkStart w:id="362" w:name="_Toc297123520"/>
      <w:r/>
      <w:bookmarkStart w:id="363" w:name="_Toc312678016"/>
      <w:r>
        <w:rPr>
          <w:rFonts w:hint="eastAsia" w:ascii="宋体" w:hAnsi="宋体" w:eastAsia="宋体"/>
          <w:color w:val="auto"/>
          <w:sz w:val="24"/>
          <w:szCs w:val="24"/>
          <w:highlight w:val="none"/>
        </w:rPr>
        <w:t xml:space="preserve">不利物质条件的其他情形和有关约定：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357"/>
      <w:bookmarkEnd w:id="358"/>
      <w:bookmarkEnd w:id="359"/>
      <w:bookmarkEnd w:id="360"/>
      <w:bookmarkEnd w:id="361"/>
      <w:bookmarkEnd w:id="362"/>
      <w:bookmarkEnd w:id="363"/>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64" w:name="_Toc303539130"/>
      <w:r/>
      <w:bookmarkStart w:id="365" w:name="_Toc297216180"/>
      <w:r/>
      <w:bookmarkStart w:id="366" w:name="_Toc300934973"/>
      <w:r/>
      <w:bookmarkStart w:id="367" w:name="_Toc297123521"/>
      <w:r/>
      <w:bookmarkStart w:id="368" w:name="_Toc304295551"/>
      <w:r/>
      <w:bookmarkStart w:id="369" w:name="_Toc312678017"/>
      <w:r>
        <w:rPr>
          <w:rFonts w:hint="eastAsia" w:ascii="宋体" w:hAnsi="宋体" w:eastAsia="宋体"/>
          <w:b/>
          <w:color w:val="auto"/>
          <w:sz w:val="24"/>
          <w:szCs w:val="24"/>
          <w:highlight w:val="none"/>
        </w:rPr>
        <w:t xml:space="preserve">.7异常恶劣的气候条件</w:t>
      </w:r>
      <w:bookmarkEnd w:id="364"/>
      <w:bookmarkEnd w:id="365"/>
      <w:bookmarkEnd w:id="366"/>
      <w:bookmarkEnd w:id="367"/>
      <w:bookmarkEnd w:id="368"/>
      <w:bookmarkEnd w:id="369"/>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发包人和承包人同意以下情形视为异常恶劣的气候条件：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由市级以上有关部门正式发布和认定的自然灾害</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370" w:name="_Toc21388"/>
      <w:r>
        <w:rPr>
          <w:rFonts w:hint="eastAsia" w:ascii="宋体" w:hAnsi="宋体" w:eastAsia="宋体"/>
          <w:color w:val="auto"/>
          <w:sz w:val="24"/>
          <w:szCs w:val="24"/>
          <w:highlight w:val="none"/>
        </w:rPr>
        <w:t xml:space="preserve">7.8 提前竣工的奖励</w:t>
      </w:r>
      <w:bookmarkEnd w:id="370"/>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7.8.1提前竣工的奖励：</w:t>
      </w:r>
      <w:r>
        <w:rPr>
          <w:rFonts w:hint="eastAsia" w:ascii="宋体" w:hAnsi="宋体" w:eastAsia="宋体"/>
          <w:color w:val="auto"/>
          <w:sz w:val="24"/>
          <w:szCs w:val="24"/>
          <w:highlight w:val="none"/>
          <w:u w:val="single"/>
        </w:rPr>
        <w:t xml:space="preserve">      无                 </w:t>
      </w:r>
      <w:r>
        <w:rPr>
          <w:rFonts w:hint="eastAsia" w:ascii="宋体" w:hAnsi="宋体" w:eastAsia="宋体"/>
          <w:color w:val="auto"/>
          <w:sz w:val="24"/>
          <w:szCs w:val="24"/>
          <w:highlight w:val="none"/>
        </w:rPr>
        <w:t xml:space="preserve">。</w:t>
      </w:r>
      <w:r/>
    </w:p>
    <w:p>
      <w:pPr>
        <w:pStyle w:val="1140"/>
        <w:ind w:firstLine="482"/>
        <w:pageBreakBefore w:val="0"/>
        <w:spacing w:line="360" w:lineRule="auto"/>
        <w:widowControl w:val="off"/>
        <w:rPr>
          <w:rFonts w:hint="eastAsia" w:ascii="宋体" w:hAnsi="宋体" w:eastAsia="宋体"/>
          <w:color w:val="auto"/>
          <w:sz w:val="24"/>
          <w:szCs w:val="24"/>
          <w:highlight w:val="none"/>
        </w:rPr>
      </w:pPr>
      <w:r/>
      <w:bookmarkStart w:id="371" w:name="_Toc351203640"/>
      <w:r>
        <w:rPr>
          <w:rFonts w:hint="eastAsia" w:ascii="宋体" w:hAnsi="宋体"/>
          <w:color w:val="auto"/>
          <w:sz w:val="24"/>
          <w:szCs w:val="24"/>
          <w:highlight w:val="none"/>
        </w:rPr>
        <w:t xml:space="preserve">8. 材料与设备</w:t>
      </w:r>
      <w:bookmarkEnd w:id="371"/>
      <w:r/>
      <w:r/>
    </w:p>
    <w:p>
      <w:pPr>
        <w:ind w:firstLine="480"/>
        <w:pageBreakBefore w:val="0"/>
        <w:spacing w:line="360" w:lineRule="auto"/>
        <w:widowControl w:val="off"/>
        <w:rPr>
          <w:rStyle w:val="121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1</w:t>
      </w:r>
      <w:r>
        <w:rPr>
          <w:rStyle w:val="1210"/>
          <w:rFonts w:hint="eastAsia" w:ascii="宋体" w:hAnsi="宋体" w:eastAsia="宋体" w:cs="宋体"/>
          <w:color w:val="auto"/>
          <w:sz w:val="24"/>
          <w:szCs w:val="24"/>
          <w:highlight w:val="none"/>
        </w:rPr>
        <w:t xml:space="preserve">承包人采购材料与工程设备</w:t>
      </w:r>
      <w:r/>
    </w:p>
    <w:p>
      <w:pPr>
        <w:ind w:firstLine="480"/>
        <w:pageBreakBefore w:val="0"/>
        <w:spacing w:line="360" w:lineRule="auto"/>
        <w:widowControl w:val="off"/>
        <w:rPr>
          <w:rStyle w:val="1210"/>
          <w:rFonts w:hint="eastAsia" w:ascii="宋体" w:hAnsi="宋体" w:eastAsia="宋体" w:cs="宋体"/>
          <w:color w:val="auto"/>
          <w:sz w:val="24"/>
          <w:szCs w:val="24"/>
          <w:highlight w:val="none"/>
        </w:rPr>
      </w:pPr>
      <w:r>
        <w:rPr>
          <w:rStyle w:val="1210"/>
          <w:rFonts w:hint="eastAsia" w:ascii="宋体" w:hAnsi="宋体" w:eastAsia="宋体" w:cs="宋体"/>
          <w:color w:val="auto"/>
          <w:sz w:val="24"/>
          <w:szCs w:val="24"/>
          <w:highlight w:val="none"/>
        </w:rPr>
        <w:t xml:space="preserve">8.</w:t>
      </w:r>
      <w:r>
        <w:rPr>
          <w:rStyle w:val="1210"/>
          <w:rFonts w:hint="eastAsia" w:ascii="宋体" w:hAnsi="宋体" w:eastAsia="宋体" w:cs="宋体"/>
          <w:color w:val="auto"/>
          <w:sz w:val="24"/>
          <w:szCs w:val="24"/>
          <w:highlight w:val="none"/>
          <w:lang w:val="en-US" w:eastAsia="zh-CN"/>
        </w:rPr>
        <w:t xml:space="preserve">1</w:t>
      </w:r>
      <w:r>
        <w:rPr>
          <w:rStyle w:val="1210"/>
          <w:rFonts w:hint="eastAsia" w:ascii="宋体" w:hAnsi="宋体" w:eastAsia="宋体" w:cs="宋体"/>
          <w:color w:val="auto"/>
          <w:sz w:val="24"/>
          <w:szCs w:val="24"/>
          <w:highlight w:val="none"/>
        </w:rPr>
        <w:t xml:space="preserve">.1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p>
    <w:p>
      <w:pPr>
        <w:ind w:firstLine="480"/>
        <w:pageBreakBefore w:val="0"/>
        <w:spacing w:line="360" w:lineRule="auto"/>
        <w:widowControl w:val="off"/>
        <w:rPr>
          <w:rStyle w:val="1210"/>
          <w:rFonts w:hint="eastAsia" w:ascii="宋体" w:hAnsi="宋体" w:eastAsia="宋体" w:cs="宋体"/>
          <w:color w:val="auto"/>
          <w:sz w:val="24"/>
          <w:szCs w:val="24"/>
          <w:highlight w:val="none"/>
        </w:rPr>
      </w:pPr>
      <w:r>
        <w:rPr>
          <w:rStyle w:val="1210"/>
          <w:rFonts w:hint="eastAsia" w:ascii="宋体" w:hAnsi="宋体" w:eastAsia="宋体" w:cs="宋体"/>
          <w:color w:val="auto"/>
          <w:sz w:val="24"/>
          <w:szCs w:val="24"/>
          <w:highlight w:val="none"/>
        </w:rPr>
        <w:t xml:space="preserve">8.</w:t>
      </w:r>
      <w:r>
        <w:rPr>
          <w:rStyle w:val="1210"/>
          <w:rFonts w:hint="eastAsia" w:ascii="宋体" w:hAnsi="宋体" w:eastAsia="宋体" w:cs="宋体"/>
          <w:color w:val="auto"/>
          <w:sz w:val="24"/>
          <w:szCs w:val="24"/>
          <w:highlight w:val="none"/>
          <w:lang w:val="en-US" w:eastAsia="zh-CN"/>
        </w:rPr>
        <w:t xml:space="preserve">1</w:t>
      </w:r>
      <w:r>
        <w:rPr>
          <w:rStyle w:val="1210"/>
          <w:rFonts w:hint="eastAsia" w:ascii="宋体" w:hAnsi="宋体" w:eastAsia="宋体" w:cs="宋体"/>
          <w:color w:val="auto"/>
          <w:sz w:val="24"/>
          <w:szCs w:val="24"/>
          <w:highlight w:val="none"/>
        </w:rPr>
        <w:t xml:space="preserve">.2工程师或其代表可能要求在承包人或其他代表在场的情况下从每一材料中抽样用作检验，经工程师决定，这样抽取的样品应视为一批材料的代表。</w:t>
      </w:r>
      <w:r/>
    </w:p>
    <w:p>
      <w:pPr>
        <w:ind w:firstLine="480"/>
        <w:pageBreakBefore w:val="0"/>
        <w:spacing w:line="360" w:lineRule="auto"/>
        <w:widowControl w:val="off"/>
        <w:rPr>
          <w:rStyle w:val="1210"/>
          <w:rFonts w:hint="eastAsia" w:ascii="宋体" w:hAnsi="宋体" w:eastAsia="宋体" w:cs="宋体"/>
          <w:color w:val="auto"/>
          <w:sz w:val="24"/>
          <w:szCs w:val="24"/>
          <w:highlight w:val="none"/>
        </w:rPr>
      </w:pPr>
      <w:r>
        <w:rPr>
          <w:rStyle w:val="1210"/>
          <w:rFonts w:hint="eastAsia" w:ascii="宋体" w:hAnsi="宋体" w:eastAsia="宋体" w:cs="宋体"/>
          <w:color w:val="auto"/>
          <w:sz w:val="24"/>
          <w:szCs w:val="24"/>
          <w:highlight w:val="none"/>
        </w:rPr>
        <w:t xml:space="preserve">8.</w:t>
      </w:r>
      <w:r>
        <w:rPr>
          <w:rStyle w:val="1210"/>
          <w:rFonts w:hint="eastAsia" w:ascii="宋体" w:hAnsi="宋体" w:eastAsia="宋体" w:cs="宋体"/>
          <w:color w:val="auto"/>
          <w:sz w:val="24"/>
          <w:szCs w:val="24"/>
          <w:highlight w:val="none"/>
          <w:lang w:val="en-US" w:eastAsia="zh-CN"/>
        </w:rPr>
        <w:t xml:space="preserve">1</w:t>
      </w:r>
      <w:r>
        <w:rPr>
          <w:rStyle w:val="1210"/>
          <w:rFonts w:hint="eastAsia" w:ascii="宋体" w:hAnsi="宋体" w:eastAsia="宋体" w:cs="宋体"/>
          <w:color w:val="auto"/>
          <w:sz w:val="24"/>
          <w:szCs w:val="24"/>
          <w:highlight w:val="none"/>
        </w:rPr>
        <w:t xml:space="preserve">.3如果任何一批材料中的样品不符合合同要求的，材料全部均予退货，无论是否已经采用与否，其费用全部由承包人支付，且不允许由于更换而延长工期。</w:t>
      </w:r>
      <w:r/>
    </w:p>
    <w:p>
      <w:pPr>
        <w:ind w:firstLine="480"/>
        <w:pageBreakBefore w:val="0"/>
        <w:spacing w:line="360" w:lineRule="auto"/>
        <w:widowControl w:val="off"/>
        <w:rPr>
          <w:rStyle w:val="1210"/>
          <w:rFonts w:hint="eastAsia" w:ascii="宋体" w:hAnsi="宋体" w:eastAsia="宋体" w:cs="宋体"/>
          <w:color w:val="auto"/>
          <w:sz w:val="24"/>
          <w:szCs w:val="24"/>
          <w:highlight w:val="none"/>
        </w:rPr>
      </w:pPr>
      <w:r>
        <w:rPr>
          <w:rStyle w:val="1210"/>
          <w:rFonts w:hint="eastAsia" w:ascii="宋体" w:hAnsi="宋体" w:eastAsia="宋体" w:cs="宋体"/>
          <w:color w:val="auto"/>
          <w:sz w:val="24"/>
          <w:szCs w:val="24"/>
          <w:highlight w:val="none"/>
        </w:rPr>
        <w:t xml:space="preserve">8.</w:t>
      </w:r>
      <w:r>
        <w:rPr>
          <w:rStyle w:val="1210"/>
          <w:rFonts w:hint="eastAsia" w:ascii="宋体" w:hAnsi="宋体" w:eastAsia="宋体" w:cs="宋体"/>
          <w:color w:val="auto"/>
          <w:sz w:val="24"/>
          <w:szCs w:val="24"/>
          <w:highlight w:val="none"/>
          <w:lang w:val="en-US" w:eastAsia="zh-CN"/>
        </w:rPr>
        <w:t xml:space="preserve">1</w:t>
      </w:r>
      <w:r>
        <w:rPr>
          <w:rStyle w:val="1210"/>
          <w:rFonts w:hint="eastAsia" w:ascii="宋体" w:hAnsi="宋体" w:eastAsia="宋体" w:cs="宋体"/>
          <w:color w:val="auto"/>
          <w:sz w:val="24"/>
          <w:szCs w:val="24"/>
          <w:highlight w:val="none"/>
        </w:rPr>
        <w:t xml:space="preserve">.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p>
    <w:p>
      <w:pPr>
        <w:ind w:firstLine="480"/>
        <w:pageBreakBefore w:val="0"/>
        <w:spacing w:line="360" w:lineRule="auto"/>
        <w:widowControl w:val="off"/>
        <w:rPr>
          <w:rStyle w:val="1210"/>
          <w:rFonts w:hint="eastAsia" w:ascii="宋体" w:hAnsi="宋体" w:eastAsia="宋体" w:cs="宋体"/>
          <w:color w:val="auto"/>
          <w:sz w:val="24"/>
          <w:szCs w:val="24"/>
          <w:highlight w:val="none"/>
        </w:rPr>
      </w:pPr>
      <w:r>
        <w:rPr>
          <w:rStyle w:val="1210"/>
          <w:rFonts w:hint="eastAsia" w:ascii="宋体" w:hAnsi="宋体" w:eastAsia="宋体" w:cs="宋体"/>
          <w:color w:val="auto"/>
          <w:sz w:val="24"/>
          <w:szCs w:val="24"/>
          <w:highlight w:val="none"/>
        </w:rPr>
        <w:t xml:space="preserve">8.</w:t>
      </w:r>
      <w:r>
        <w:rPr>
          <w:rStyle w:val="1210"/>
          <w:rFonts w:hint="eastAsia" w:ascii="宋体" w:hAnsi="宋体" w:eastAsia="宋体" w:cs="宋体"/>
          <w:color w:val="auto"/>
          <w:sz w:val="24"/>
          <w:szCs w:val="24"/>
          <w:highlight w:val="none"/>
          <w:lang w:val="en-US" w:eastAsia="zh-CN"/>
        </w:rPr>
        <w:t xml:space="preserve">1</w:t>
      </w:r>
      <w:r>
        <w:rPr>
          <w:rStyle w:val="1210"/>
          <w:rFonts w:hint="eastAsia" w:ascii="宋体" w:hAnsi="宋体" w:eastAsia="宋体" w:cs="宋体"/>
          <w:color w:val="auto"/>
          <w:sz w:val="24"/>
          <w:szCs w:val="24"/>
          <w:highlight w:val="none"/>
        </w:rPr>
        <w:t xml:space="preserve">.5运抵到现场的所有材料，无论在施工进度款中是否已付款，未经总监的书面批准，不得</w:t>
      </w:r>
      <w:r>
        <w:rPr>
          <w:rStyle w:val="1210"/>
          <w:rFonts w:hint="eastAsia" w:ascii="宋体" w:hAnsi="宋体" w:eastAsia="宋体" w:cs="宋体"/>
          <w:color w:val="auto"/>
          <w:sz w:val="24"/>
          <w:szCs w:val="24"/>
          <w:highlight w:val="none"/>
          <w:lang w:eastAsia="zh-CN"/>
        </w:rPr>
        <w:t xml:space="preserve">从现</w:t>
      </w:r>
      <w:r>
        <w:rPr>
          <w:rStyle w:val="1210"/>
          <w:rFonts w:hint="eastAsia" w:ascii="宋体" w:hAnsi="宋体" w:eastAsia="宋体" w:cs="宋体"/>
          <w:color w:val="auto"/>
          <w:sz w:val="24"/>
          <w:szCs w:val="24"/>
          <w:highlight w:val="none"/>
        </w:rPr>
        <w:t xml:space="preserve">场搬移出去。</w:t>
      </w:r>
      <w:bookmarkEnd w:id="303"/>
      <w:bookmarkEnd w:id="304"/>
      <w:bookmarkEnd w:id="305"/>
      <w:bookmarkEnd w:id="306"/>
      <w:bookmarkEnd w:id="307"/>
      <w:bookmarkEnd w:id="308"/>
      <w:bookmarkEnd w:id="309"/>
      <w:bookmarkEnd w:id="310"/>
      <w:bookmarkEnd w:id="311"/>
      <w:bookmarkEnd w:id="312"/>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bookmarkStart w:id="372" w:name="_Toc296347166"/>
      <w:r/>
      <w:bookmarkStart w:id="373" w:name="_Toc312677493"/>
      <w:r/>
      <w:bookmarkStart w:id="374" w:name="_Toc292559372"/>
      <w:r/>
      <w:bookmarkStart w:id="375" w:name="_Toc303539136"/>
      <w:r/>
      <w:bookmarkStart w:id="376" w:name="_Toc296503167"/>
      <w:r/>
      <w:bookmarkStart w:id="377" w:name="_Toc296891207"/>
      <w:r/>
      <w:bookmarkStart w:id="378" w:name="_Toc297120467"/>
      <w:r/>
      <w:bookmarkStart w:id="379" w:name="_Toc280868654"/>
      <w:r/>
      <w:bookmarkStart w:id="380" w:name="_Toc297216186"/>
      <w:r/>
      <w:bookmarkStart w:id="381" w:name="_Toc300934979"/>
      <w:r/>
      <w:bookmarkStart w:id="382" w:name="_Toc296944506"/>
      <w:r/>
      <w:bookmarkStart w:id="383" w:name="_Toc304295556"/>
      <w:r/>
      <w:bookmarkStart w:id="384" w:name="_Toc292559877"/>
      <w:r/>
      <w:bookmarkStart w:id="385" w:name="_Toc296346668"/>
      <w:r/>
      <w:bookmarkStart w:id="386" w:name="_Toc296890995"/>
      <w:r/>
      <w:bookmarkStart w:id="387" w:name="_Toc297048353"/>
      <w:r/>
      <w:bookmarkStart w:id="388" w:name="_Toc312678019"/>
      <w:r/>
      <w:bookmarkStart w:id="389" w:name="_Toc297123527"/>
      <w:r/>
      <w:bookmarkStart w:id="390" w:name="_Toc267251424"/>
      <w:r/>
      <w:bookmarkStart w:id="391" w:name="_Toc280868655"/>
      <w:r/>
      <w:bookmarkStart w:id="392" w:name="_Toc280868656"/>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材料与工程设备的保管与使用</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bookmarkStart w:id="393" w:name="_Toc292559878"/>
      <w:r/>
      <w:bookmarkStart w:id="394" w:name="_Toc292559373"/>
      <w:r/>
      <w:bookmarkStart w:id="395" w:name="_Toc312678020"/>
      <w:r/>
      <w:bookmarkStart w:id="396" w:name="_Toc296944507"/>
      <w:r/>
      <w:bookmarkStart w:id="397" w:name="_Toc296347167"/>
      <w:r/>
      <w:bookmarkStart w:id="398" w:name="_Toc297120468"/>
      <w:r/>
      <w:bookmarkStart w:id="399" w:name="_Toc296503168"/>
      <w:r/>
      <w:bookmarkStart w:id="400" w:name="_Toc312677494"/>
      <w:r/>
      <w:bookmarkStart w:id="401" w:name="_Toc304295557"/>
      <w:r/>
      <w:bookmarkStart w:id="402" w:name="_Toc318581173"/>
      <w:r/>
      <w:bookmarkStart w:id="403" w:name="_Toc303539137"/>
      <w:r/>
      <w:bookmarkStart w:id="404" w:name="_Toc297123528"/>
      <w:r/>
      <w:bookmarkStart w:id="405" w:name="_Toc296346669"/>
      <w:r/>
      <w:bookmarkStart w:id="406" w:name="_Toc297216187"/>
      <w:r/>
      <w:bookmarkStart w:id="407" w:name="_Toc300934980"/>
      <w:r/>
      <w:bookmarkStart w:id="408" w:name="_Toc296890996"/>
      <w:r/>
      <w:bookmarkStart w:id="409" w:name="_Toc296891208"/>
      <w:r/>
      <w:bookmarkStart w:id="410" w:name="_Toc297048354"/>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.1发包人供应的材料设备的保管费用的承担：</w:t>
      </w:r>
      <w:bookmarkEnd w:id="393"/>
      <w:r/>
      <w:bookmarkEnd w:id="394"/>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样品</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.1样品的报送与封存</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按管理部门要求和发包人需求确定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rPr>
          <w:rStyle w:val="121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w:t>
      </w:r>
      <w:r>
        <w:rPr>
          <w:rStyle w:val="1210"/>
          <w:rFonts w:hint="eastAsia" w:ascii="宋体" w:hAnsi="宋体" w:eastAsia="宋体" w:cs="宋体"/>
          <w:color w:val="auto"/>
          <w:sz w:val="24"/>
          <w:szCs w:val="24"/>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p>
    <w:p>
      <w:pPr>
        <w:ind w:firstLine="480"/>
        <w:jc w:val="left"/>
        <w:pageBreakBefore w:val="0"/>
        <w:spacing w:line="360" w:lineRule="auto"/>
        <w:rPr>
          <w:rFonts w:hint="eastAsia" w:ascii="宋体" w:hAnsi="宋体" w:eastAsia="宋体" w:cs="宋体"/>
          <w:color w:val="auto"/>
          <w:sz w:val="24"/>
          <w:szCs w:val="24"/>
          <w:highlight w:val="none"/>
        </w:rPr>
      </w:pPr>
      <w:r>
        <w:rPr>
          <w:rStyle w:val="1210"/>
          <w:rFonts w:hint="eastAsia" w:ascii="宋体" w:hAnsi="宋体" w:eastAsia="宋体" w:cs="宋体"/>
          <w:color w:val="auto"/>
          <w:sz w:val="24"/>
          <w:szCs w:val="24"/>
          <w:highlight w:val="none"/>
        </w:rPr>
        <w:t xml:space="preserve">8.</w:t>
      </w:r>
      <w:r>
        <w:rPr>
          <w:rStyle w:val="1210"/>
          <w:rFonts w:hint="eastAsia" w:ascii="宋体" w:hAnsi="宋体" w:eastAsia="宋体" w:cs="宋体"/>
          <w:color w:val="auto"/>
          <w:sz w:val="24"/>
          <w:szCs w:val="24"/>
          <w:highlight w:val="none"/>
          <w:lang w:val="en-US" w:eastAsia="zh-CN"/>
        </w:rPr>
        <w:t xml:space="preserve">3</w:t>
      </w:r>
      <w:r>
        <w:rPr>
          <w:rStyle w:val="1210"/>
          <w:rFonts w:hint="eastAsia" w:ascii="宋体" w:hAnsi="宋体" w:eastAsia="宋体" w:cs="宋体"/>
          <w:color w:val="auto"/>
          <w:sz w:val="24"/>
          <w:szCs w:val="24"/>
          <w:highlight w:val="none"/>
        </w:rPr>
        <w:t xml:space="preserve">.1.2 本工程的所有材料，均由承包人按国家标准、设计文件及规范要求自行采购和保管，使用前，要有质保书或出厂合格证，并进行有关必要的检验或试验，合格后方可使用。承包人必须在监理人现场见证的情况下取样、封样和送样，样品须送至</w:t>
      </w:r>
      <w:r>
        <w:rPr>
          <w:rStyle w:val="1210"/>
          <w:rFonts w:hint="eastAsia" w:ascii="宋体" w:hAnsi="宋体" w:cs="宋体"/>
          <w:color w:val="auto"/>
          <w:sz w:val="24"/>
          <w:szCs w:val="24"/>
          <w:highlight w:val="none"/>
          <w:lang w:val="en-US" w:eastAsia="zh-CN"/>
        </w:rPr>
        <w:t xml:space="preserve">具备相关检测资质</w:t>
      </w:r>
      <w:r>
        <w:rPr>
          <w:rStyle w:val="1210"/>
          <w:rFonts w:hint="eastAsia" w:ascii="宋体" w:hAnsi="宋体" w:eastAsia="宋体" w:cs="宋体"/>
          <w:color w:val="auto"/>
          <w:sz w:val="24"/>
          <w:szCs w:val="24"/>
          <w:highlight w:val="none"/>
        </w:rPr>
        <w:t xml:space="preserve">机构进行检测，否则不予认可。检验或试验费用均由承包人承担。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施工设备和临时设施</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承包人提供的施工设备和临时设施</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关于修建临时设施费用承担的约定：</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Start w:id="411" w:name="_Toc351203641"/>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9</w:t>
      </w:r>
      <w:bookmarkEnd w:id="390"/>
      <w:r/>
      <w:bookmarkEnd w:id="391"/>
      <w:r/>
      <w:bookmarkEnd w:id="392"/>
      <w:r/>
      <w:bookmarkStart w:id="412" w:name="_Toc312678021"/>
      <w:r/>
      <w:bookmarkStart w:id="413" w:name="_Toc312677495"/>
      <w:r/>
      <w:bookmarkStart w:id="414" w:name="_Toc304295559"/>
      <w:r/>
      <w:bookmarkStart w:id="415" w:name="_Toc303539139"/>
      <w:r/>
      <w:bookmarkStart w:id="416" w:name="_Toc297123533"/>
      <w:r/>
      <w:bookmarkStart w:id="417" w:name="_Toc300934982"/>
      <w:r/>
      <w:bookmarkStart w:id="418" w:name="_Toc297216192"/>
      <w:r/>
      <w:bookmarkStart w:id="419" w:name="_Toc296503173"/>
      <w:r/>
      <w:bookmarkStart w:id="420" w:name="_Toc297048359"/>
      <w:r/>
      <w:bookmarkStart w:id="421" w:name="_Toc296891213"/>
      <w:r/>
      <w:bookmarkStart w:id="422" w:name="_Toc296944512"/>
      <w:r/>
      <w:bookmarkStart w:id="423" w:name="_Toc267251427"/>
      <w:r/>
      <w:bookmarkStart w:id="424" w:name="_Toc292559378"/>
      <w:r/>
      <w:bookmarkStart w:id="425" w:name="_Toc292559883"/>
      <w:r/>
      <w:bookmarkStart w:id="426" w:name="_Toc297120473"/>
      <w:r/>
      <w:bookmarkStart w:id="427" w:name="_Toc296346674"/>
      <w:r/>
      <w:bookmarkStart w:id="428" w:name="_Toc267251428"/>
      <w:r/>
      <w:bookmarkStart w:id="429" w:name="_Toc296347172"/>
      <w:r/>
      <w:bookmarkStart w:id="430" w:name="_Toc296891001"/>
      <w:r>
        <w:rPr>
          <w:rFonts w:hint="eastAsia" w:ascii="宋体" w:hAnsi="宋体" w:eastAsia="宋体"/>
          <w:b/>
          <w:color w:val="auto"/>
          <w:sz w:val="24"/>
          <w:szCs w:val="24"/>
          <w:highlight w:val="none"/>
        </w:rPr>
        <w:t xml:space="preserve">. 试验与检验</w:t>
      </w:r>
      <w:bookmarkEnd w:id="411"/>
      <w:r/>
      <w:bookmarkEnd w:id="412"/>
      <w:bookmarkEnd w:id="413"/>
      <w:bookmarkEnd w:id="414"/>
      <w:bookmarkEnd w:id="415"/>
      <w:bookmarkEnd w:id="416"/>
      <w:bookmarkEnd w:id="417"/>
      <w:bookmarkEnd w:id="418"/>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bookmarkStart w:id="431" w:name="_Toc300934983"/>
      <w:r/>
      <w:bookmarkStart w:id="432" w:name="_Toc303539140"/>
      <w:r/>
      <w:bookmarkStart w:id="433" w:name="_Toc312677496"/>
      <w:r/>
      <w:bookmarkStart w:id="434" w:name="_Toc297123534"/>
      <w:r/>
      <w:bookmarkStart w:id="435" w:name="_Toc304295560"/>
      <w:r/>
      <w:bookmarkStart w:id="436" w:name="_Toc312678022"/>
      <w:r/>
      <w:bookmarkStart w:id="437" w:name="_Toc297216193"/>
      <w:r>
        <w:rPr>
          <w:rFonts w:hint="eastAsia" w:ascii="宋体" w:hAnsi="宋体" w:eastAsia="宋体"/>
          <w:color w:val="auto"/>
          <w:sz w:val="24"/>
          <w:szCs w:val="24"/>
          <w:highlight w:val="none"/>
        </w:rPr>
        <w:t xml:space="preserve">.1试验设备与试验人员</w:t>
      </w:r>
      <w:bookmarkEnd w:id="431"/>
      <w:bookmarkEnd w:id="432"/>
      <w:bookmarkEnd w:id="433"/>
      <w:bookmarkEnd w:id="434"/>
      <w:bookmarkEnd w:id="435"/>
      <w:bookmarkEnd w:id="436"/>
      <w:bookmarkEnd w:id="437"/>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bookmarkStart w:id="438" w:name="_Toc312677497"/>
      <w:r/>
      <w:bookmarkStart w:id="439" w:name="_Toc312678023"/>
      <w:r/>
      <w:bookmarkStart w:id="440" w:name="_Toc297123535"/>
      <w:r/>
      <w:bookmarkStart w:id="441" w:name="_Toc297216194"/>
      <w:r/>
      <w:bookmarkStart w:id="442" w:name="_Toc304295561"/>
      <w:r/>
      <w:bookmarkStart w:id="443" w:name="_Toc300934984"/>
      <w:r/>
      <w:bookmarkStart w:id="444" w:name="_Toc303539141"/>
      <w:r/>
      <w:bookmarkStart w:id="445" w:name="_Toc318581174"/>
      <w:r>
        <w:rPr>
          <w:rFonts w:hint="eastAsia" w:ascii="宋体" w:hAnsi="宋体" w:eastAsia="宋体"/>
          <w:color w:val="auto"/>
          <w:sz w:val="24"/>
          <w:szCs w:val="24"/>
          <w:highlight w:val="none"/>
        </w:rPr>
        <w:t xml:space="preserve">.1.2 试验设备</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施工现场需要配置的试验场所：</w:t>
      </w:r>
      <w:bookmarkEnd w:id="438"/>
      <w:r/>
      <w:bookmarkEnd w:id="439"/>
      <w:r/>
      <w:bookmarkEnd w:id="440"/>
      <w:r/>
      <w:bookmarkEnd w:id="441"/>
      <w:r/>
      <w:bookmarkEnd w:id="442"/>
      <w:r/>
      <w:bookmarkEnd w:id="443"/>
      <w:r/>
      <w:bookmarkEnd w:id="444"/>
      <w:r/>
      <w:bookmarkStart w:id="446" w:name="_Toc304295562"/>
      <w:r/>
      <w:bookmarkStart w:id="447" w:name="_Toc312678024"/>
      <w:r/>
      <w:bookmarkStart w:id="448" w:name="_Toc297123536"/>
      <w:r/>
      <w:bookmarkStart w:id="449" w:name="_Toc303539142"/>
      <w:r/>
      <w:bookmarkStart w:id="450" w:name="_Toc312677498"/>
      <w:r/>
      <w:bookmarkStart w:id="451" w:name="_Toc300934985"/>
      <w:r/>
      <w:bookmarkStart w:id="452" w:name="_Toc297216195"/>
      <w:r>
        <w:rPr>
          <w:rFonts w:hint="eastAsia" w:ascii="宋体" w:hAnsi="宋体" w:eastAsia="宋体"/>
          <w:color w:val="auto"/>
          <w:sz w:val="24"/>
          <w:szCs w:val="24"/>
          <w:highlight w:val="none"/>
          <w:u w:val="single"/>
        </w:rPr>
        <w:t xml:space="preserve"> 按有关规定执行</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施工现场需要配备的试验设备：</w:t>
      </w:r>
      <w:r>
        <w:rPr>
          <w:rFonts w:hint="eastAsia" w:ascii="宋体" w:hAnsi="宋体" w:eastAsia="宋体"/>
          <w:color w:val="auto"/>
          <w:sz w:val="24"/>
          <w:szCs w:val="24"/>
          <w:highlight w:val="none"/>
          <w:u w:val="single"/>
        </w:rPr>
        <w:t xml:space="preserve"> 按有关规定执行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施工现场需要具备的其他试验条件：</w:t>
      </w:r>
      <w:r>
        <w:rPr>
          <w:rFonts w:hint="eastAsia" w:ascii="宋体" w:hAnsi="宋体" w:eastAsia="宋体"/>
          <w:color w:val="auto"/>
          <w:sz w:val="24"/>
          <w:szCs w:val="24"/>
          <w:highlight w:val="none"/>
          <w:u w:val="single"/>
        </w:rPr>
        <w:t xml:space="preserve">  按有关规定执行</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453" w:name="_Toc11489"/>
      <w:r>
        <w:rPr>
          <w:rFonts w:hint="eastAsia" w:ascii="宋体" w:hAnsi="宋体" w:eastAsia="宋体"/>
          <w:color w:val="auto"/>
          <w:sz w:val="24"/>
          <w:szCs w:val="24"/>
          <w:highlight w:val="none"/>
        </w:rPr>
        <w:t xml:space="preserve">9.</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现场工艺试验</w:t>
      </w:r>
      <w:bookmarkEnd w:id="453"/>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现场工艺试验的有关约定：</w:t>
      </w:r>
      <w:r>
        <w:rPr>
          <w:rFonts w:hint="eastAsia" w:ascii="宋体" w:hAnsi="宋体" w:eastAsia="宋体"/>
          <w:color w:val="auto"/>
          <w:sz w:val="24"/>
          <w:szCs w:val="24"/>
          <w:highlight w:val="none"/>
          <w:u w:val="single"/>
        </w:rPr>
        <w:t xml:space="preserve">按有关规定执行</w:t>
      </w:r>
      <w:r>
        <w:rPr>
          <w:rFonts w:hint="eastAsia" w:ascii="宋体" w:hAnsi="宋体" w:eastAsia="宋体"/>
          <w:color w:val="auto"/>
          <w:sz w:val="24"/>
          <w:szCs w:val="24"/>
          <w:highlight w:val="none"/>
        </w:rPr>
        <w:t xml:space="preserve">。</w:t>
      </w:r>
      <w:bookmarkEnd w:id="445"/>
      <w:bookmarkEnd w:id="446"/>
      <w:bookmarkEnd w:id="447"/>
      <w:bookmarkEnd w:id="448"/>
      <w:bookmarkEnd w:id="449"/>
      <w:bookmarkEnd w:id="450"/>
      <w:bookmarkEnd w:id="451"/>
      <w:bookmarkEnd w:id="452"/>
      <w:r/>
    </w:p>
    <w:p>
      <w:pPr>
        <w:pStyle w:val="1140"/>
        <w:ind w:firstLine="482"/>
        <w:pageBreakBefore w:val="0"/>
        <w:spacing w:line="360" w:lineRule="auto"/>
        <w:rPr>
          <w:rFonts w:hint="eastAsia" w:ascii="宋体" w:hAnsi="宋体"/>
          <w:color w:val="auto"/>
          <w:sz w:val="24"/>
          <w:szCs w:val="24"/>
          <w:highlight w:val="none"/>
        </w:rPr>
      </w:pPr>
      <w:r/>
      <w:bookmarkStart w:id="454" w:name="_Toc351203642"/>
      <w:r>
        <w:rPr>
          <w:rFonts w:hint="eastAsia" w:ascii="宋体" w:hAnsi="宋体"/>
          <w:color w:val="auto"/>
          <w:sz w:val="24"/>
          <w:szCs w:val="24"/>
          <w:highlight w:val="none"/>
        </w:rPr>
        <w:t xml:space="preserve">1</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Start w:id="455" w:name="_Toc296891021"/>
      <w:r/>
      <w:bookmarkStart w:id="456" w:name="_Toc304295566"/>
      <w:r/>
      <w:bookmarkStart w:id="457" w:name="_Toc296347192"/>
      <w:r/>
      <w:bookmarkStart w:id="458" w:name="_Toc297216199"/>
      <w:r/>
      <w:bookmarkStart w:id="459" w:name="_Toc296944532"/>
      <w:r/>
      <w:bookmarkStart w:id="460" w:name="_Toc296891233"/>
      <w:r/>
      <w:bookmarkStart w:id="461" w:name="_Toc292559903"/>
      <w:r/>
      <w:bookmarkStart w:id="462" w:name="_Toc303539146"/>
      <w:r/>
      <w:bookmarkStart w:id="463" w:name="_Toc297048379"/>
      <w:r/>
      <w:bookmarkStart w:id="464" w:name="_Toc300934989"/>
      <w:r/>
      <w:bookmarkStart w:id="465" w:name="_Toc297123540"/>
      <w:r/>
      <w:bookmarkStart w:id="466" w:name="_Toc296346694"/>
      <w:r/>
      <w:bookmarkStart w:id="467" w:name="_Toc297120493"/>
      <w:r/>
      <w:bookmarkStart w:id="468" w:name="_Toc292559398"/>
      <w:r/>
      <w:bookmarkStart w:id="469" w:name="_Toc296503193"/>
      <w:r/>
      <w:bookmarkStart w:id="470" w:name="_Toc312678025"/>
      <w:r/>
      <w:bookmarkStart w:id="471" w:name="_Toc312677499"/>
      <w:r/>
      <w:bookmarkStart w:id="472" w:name="_Toc267251433"/>
      <w:r/>
      <w:bookmarkStart w:id="473" w:name="_Toc267251435"/>
      <w:r/>
      <w:bookmarkStart w:id="474" w:name="_Toc267251440"/>
      <w:r/>
      <w:bookmarkStart w:id="475" w:name="_Toc267251439"/>
      <w:r/>
      <w:bookmarkStart w:id="476" w:name="_Toc267251437"/>
      <w:r/>
      <w:bookmarkStart w:id="477" w:name="_Toc267251441"/>
      <w:r>
        <w:rPr>
          <w:rFonts w:hint="eastAsia" w:ascii="宋体" w:hAnsi="宋体"/>
          <w:color w:val="auto"/>
          <w:sz w:val="24"/>
          <w:szCs w:val="24"/>
          <w:highlight w:val="none"/>
        </w:rPr>
        <w:t xml:space="preserve">0. 变更</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bookmarkEnd w:id="471"/>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Start w:id="478" w:name="_Toc297123541"/>
      <w:r/>
      <w:bookmarkStart w:id="479" w:name="_Toc292559399"/>
      <w:r/>
      <w:bookmarkStart w:id="480" w:name="_Toc304295567"/>
      <w:r/>
      <w:bookmarkStart w:id="481" w:name="_Toc296891234"/>
      <w:r/>
      <w:bookmarkStart w:id="482" w:name="_Toc297216200"/>
      <w:r/>
      <w:bookmarkStart w:id="483" w:name="_Toc303539147"/>
      <w:r/>
      <w:bookmarkStart w:id="484" w:name="_Toc292559904"/>
      <w:r/>
      <w:bookmarkStart w:id="485" w:name="_Toc296891022"/>
      <w:r/>
      <w:bookmarkStart w:id="486" w:name="_Toc296503194"/>
      <w:r/>
      <w:bookmarkStart w:id="487" w:name="_Toc300934990"/>
      <w:r/>
      <w:bookmarkStart w:id="488" w:name="_Toc296944533"/>
      <w:r/>
      <w:bookmarkStart w:id="489" w:name="_Toc296347193"/>
      <w:r/>
      <w:bookmarkStart w:id="490" w:name="_Toc312678026"/>
      <w:r/>
      <w:bookmarkStart w:id="491" w:name="_Toc297048380"/>
      <w:r/>
      <w:bookmarkStart w:id="492" w:name="_Toc312677500"/>
      <w:r/>
      <w:bookmarkStart w:id="493" w:name="_Toc297120494"/>
      <w:r/>
      <w:bookmarkStart w:id="494" w:name="_Toc296346695"/>
      <w:r>
        <w:rPr>
          <w:rFonts w:hint="eastAsia" w:ascii="宋体" w:hAnsi="宋体" w:eastAsia="宋体"/>
          <w:b/>
          <w:color w:val="auto"/>
          <w:sz w:val="24"/>
          <w:szCs w:val="24"/>
          <w:highlight w:val="none"/>
        </w:rPr>
        <w:t xml:space="preserve">0.1变更的范围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关于变更的范围的约定：</w:t>
      </w:r>
      <w:r>
        <w:rPr>
          <w:rFonts w:hint="eastAsia" w:ascii="宋体" w:hAnsi="宋体" w:eastAsia="宋体"/>
          <w:color w:val="auto"/>
          <w:sz w:val="24"/>
          <w:szCs w:val="24"/>
          <w:highlight w:val="none"/>
          <w:u w:val="single"/>
        </w:rPr>
        <w:t xml:space="preserve">（1）工程设计变更（2）不可预见性变更（3）工程量清单特征不符、清单缺项、工程量偏差（4）涉及工程造价、质量标准等政策调整的变更（5）其他实质性变更。</w:t>
      </w:r>
      <w:r/>
    </w:p>
    <w:p>
      <w:pPr>
        <w:ind w:firstLine="482"/>
        <w:pageBreakBefore w:val="0"/>
        <w:spacing w:line="360" w:lineRule="auto"/>
        <w:rPr>
          <w:rFonts w:hint="eastAsia" w:ascii="宋体" w:hAnsi="宋体" w:eastAsia="宋体"/>
          <w:b/>
          <w:color w:val="auto"/>
          <w:sz w:val="24"/>
          <w:szCs w:val="24"/>
          <w:highlight w:val="none"/>
        </w:rPr>
        <w:outlineLvl w:val="0"/>
      </w:pPr>
      <w:r/>
      <w:bookmarkStart w:id="495" w:name="_Toc14006"/>
      <w:r>
        <w:rPr>
          <w:rFonts w:hint="eastAsia" w:ascii="宋体" w:hAnsi="宋体" w:eastAsia="宋体"/>
          <w:b/>
          <w:color w:val="auto"/>
          <w:sz w:val="24"/>
          <w:szCs w:val="24"/>
          <w:highlight w:val="none"/>
        </w:rPr>
        <w:t xml:space="preserve">10.</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 变更估价</w:t>
      </w:r>
      <w:bookmarkEnd w:id="495"/>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变更估价原则</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关于变更估价的约定</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工程变更引起已标价工程量清单项目或其工程数量发生变化，应按照下列规定调整：</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1. 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2.已标价工程量清单中没有适用但有类似于变更工程项目的，可在合理范围内参照类似项目的单价调整；如果参照类似项目的单价调整的，应经发（承）包方和监理工程师签认。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w:t>
      </w:r>
      <w:r>
        <w:rPr>
          <w:rFonts w:hint="eastAsia" w:ascii="宋体" w:hAnsi="宋体" w:eastAsia="宋体"/>
          <w:color w:val="auto"/>
          <w:sz w:val="24"/>
          <w:szCs w:val="24"/>
          <w:highlight w:val="none"/>
          <w:u w:val="single"/>
          <w:lang w:val="en-US" w:eastAsia="zh-CN"/>
        </w:rPr>
        <w:t xml:space="preserve">中标</w:t>
      </w:r>
      <w:r>
        <w:rPr>
          <w:rFonts w:hint="eastAsia" w:ascii="宋体" w:hAnsi="宋体" w:eastAsia="宋体"/>
          <w:color w:val="auto"/>
          <w:sz w:val="24"/>
          <w:szCs w:val="24"/>
          <w:highlight w:val="none"/>
          <w:u w:val="single"/>
        </w:rPr>
        <w:t xml:space="preserve">价/审定标底价即未按控制价调整系数调整前的价格</w:t>
      </w: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*100%，下浮率的计算均需扣除采购人暂列金额、暂估价、规费、安全文明施工措施费及税金。</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（1）安全文明施工费按照实际发生变化的措施项目依据规范规定计算。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（2）采用单价计算的措施项目费，按照实际发生变化的措施项目的规定确定单价。</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（3）按总价（或系数）计算的措施项目费，按照实际发生变化的措施项目调整，但应考虑承包人报价浮动因素，即调整金额按照实际调整金额乘以规定的承包人报价浮动率计算。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如果承包人未事先将拟实施的方案提交给发包人确认，则视为工程变更不引起措施项目费的调整或承包人放弃调整措施项目费的权利。</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Start w:id="496" w:name="_Toc303539150"/>
      <w:r/>
      <w:bookmarkStart w:id="497" w:name="_Toc296944536"/>
      <w:r/>
      <w:bookmarkStart w:id="498" w:name="_Toc296891025"/>
      <w:r/>
      <w:bookmarkStart w:id="499" w:name="_Toc300934993"/>
      <w:r/>
      <w:bookmarkStart w:id="500" w:name="_Toc296891237"/>
      <w:r/>
      <w:bookmarkStart w:id="501" w:name="_Toc297120497"/>
      <w:r/>
      <w:bookmarkStart w:id="502" w:name="_Toc297048383"/>
      <w:r/>
      <w:bookmarkStart w:id="503" w:name="_Toc292559402"/>
      <w:r/>
      <w:bookmarkStart w:id="504" w:name="_Toc296347196"/>
      <w:r/>
      <w:bookmarkStart w:id="505" w:name="_Toc297123544"/>
      <w:r/>
      <w:bookmarkStart w:id="506" w:name="_Toc296346698"/>
      <w:r/>
      <w:bookmarkStart w:id="507" w:name="_Toc297216203"/>
      <w:r/>
      <w:bookmarkStart w:id="508" w:name="_Toc296503197"/>
      <w:r/>
      <w:bookmarkStart w:id="509" w:name="_Toc292559907"/>
      <w:r/>
      <w:bookmarkStart w:id="510" w:name="_Toc304295570"/>
      <w:r/>
      <w:bookmarkStart w:id="511" w:name="_Toc312678029"/>
      <w:r/>
      <w:bookmarkStart w:id="512" w:name="_Toc312677503"/>
      <w:r>
        <w:rPr>
          <w:rFonts w:hint="eastAsia" w:ascii="宋体" w:hAnsi="宋体" w:eastAsia="宋体"/>
          <w:b/>
          <w:color w:val="auto"/>
          <w:sz w:val="24"/>
          <w:szCs w:val="24"/>
          <w:highlight w:val="none"/>
        </w:rPr>
        <w:t xml:space="preserve">0.</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承</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Start w:id="513" w:name="_Toc292559913"/>
      <w:r/>
      <w:bookmarkStart w:id="514" w:name="_Toc297120503"/>
      <w:r/>
      <w:bookmarkStart w:id="515" w:name="_Toc296944542"/>
      <w:r/>
      <w:bookmarkStart w:id="516" w:name="_Toc296503203"/>
      <w:r/>
      <w:bookmarkStart w:id="517" w:name="_Toc296346704"/>
      <w:r/>
      <w:bookmarkStart w:id="518" w:name="_Toc297123545"/>
      <w:r/>
      <w:bookmarkStart w:id="519" w:name="_Toc292559408"/>
      <w:r/>
      <w:bookmarkStart w:id="520" w:name="_Toc303539151"/>
      <w:r/>
      <w:bookmarkStart w:id="521" w:name="_Toc296891031"/>
      <w:r/>
      <w:bookmarkStart w:id="522" w:name="_Toc297048389"/>
      <w:r/>
      <w:bookmarkStart w:id="523" w:name="_Toc296891243"/>
      <w:r/>
      <w:bookmarkStart w:id="524" w:name="_Toc296347202"/>
      <w:r/>
      <w:bookmarkStart w:id="525" w:name="_Toc300934994"/>
      <w:r/>
      <w:bookmarkStart w:id="526" w:name="_Toc297216204"/>
      <w:r>
        <w:rPr>
          <w:rFonts w:hint="eastAsia" w:ascii="宋体" w:hAnsi="宋体" w:eastAsia="宋体"/>
          <w:b/>
          <w:color w:val="auto"/>
          <w:sz w:val="24"/>
          <w:szCs w:val="24"/>
          <w:highlight w:val="none"/>
        </w:rPr>
        <w:t xml:space="preserve">包人的合理化建议</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监理人审查承包人合理化建议的期限：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发包人审批承包人合理化建议的期限：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w:t>
      </w:r>
      <w:bookmarkStart w:id="527" w:name="_Toc297216205"/>
      <w:r/>
      <w:bookmarkStart w:id="528" w:name="_Toc297123546"/>
      <w:r/>
      <w:bookmarkStart w:id="529" w:name="_Toc304295571"/>
      <w:r/>
      <w:bookmarkStart w:id="530" w:name="_Toc300934995"/>
      <w:r/>
      <w:bookmarkStart w:id="531" w:name="_Toc312678030"/>
      <w:r/>
      <w:bookmarkStart w:id="532" w:name="_Toc292559914"/>
      <w:r/>
      <w:bookmarkStart w:id="533" w:name="_Toc292559409"/>
      <w:r/>
      <w:bookmarkStart w:id="534" w:name="_Toc318581175"/>
      <w:r/>
      <w:bookmarkStart w:id="535" w:name="_Toc296347203"/>
      <w:r/>
      <w:bookmarkStart w:id="536" w:name="_Toc296503204"/>
      <w:r/>
      <w:bookmarkStart w:id="537" w:name="_Toc296891032"/>
      <w:r/>
      <w:bookmarkStart w:id="538" w:name="_Toc296891244"/>
      <w:r/>
      <w:bookmarkStart w:id="539" w:name="_Toc296346705"/>
      <w:r/>
      <w:bookmarkStart w:id="540" w:name="_Toc297048390"/>
      <w:r/>
      <w:bookmarkStart w:id="541" w:name="_Toc303539152"/>
      <w:r/>
      <w:bookmarkStart w:id="542" w:name="_Toc296944543"/>
      <w:r/>
      <w:bookmarkStart w:id="543" w:name="_Toc297120504"/>
      <w:r/>
      <w:bookmarkStart w:id="544" w:name="_Toc312677504"/>
      <w:r>
        <w:rPr>
          <w:rFonts w:hint="eastAsia" w:ascii="宋体" w:hAnsi="宋体" w:eastAsia="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r/>
    </w:p>
    <w:p>
      <w:pPr>
        <w:ind w:firstLine="482"/>
        <w:pageBreakBefore w:val="0"/>
        <w:spacing w:line="360" w:lineRule="auto"/>
        <w:rPr>
          <w:rFonts w:hint="eastAsia" w:ascii="宋体" w:hAnsi="宋体" w:eastAsia="宋体"/>
          <w:b/>
          <w:color w:val="auto"/>
          <w:sz w:val="24"/>
          <w:szCs w:val="24"/>
          <w:highlight w:val="none"/>
        </w:rPr>
        <w:outlineLvl w:val="0"/>
      </w:pPr>
      <w:r/>
      <w:bookmarkStart w:id="545" w:name="_Toc28262"/>
      <w:r>
        <w:rPr>
          <w:rFonts w:hint="eastAsia" w:ascii="宋体" w:hAnsi="宋体" w:eastAsia="宋体"/>
          <w:b/>
          <w:color w:val="auto"/>
          <w:sz w:val="24"/>
          <w:szCs w:val="24"/>
          <w:highlight w:val="none"/>
        </w:rPr>
        <w:t xml:space="preserve">1</w:t>
      </w:r>
      <w:bookmarkStart w:id="546" w:name="_Toc296347198"/>
      <w:r/>
      <w:bookmarkStart w:id="547" w:name="_Toc292559909"/>
      <w:r/>
      <w:bookmarkStart w:id="548" w:name="_Toc297216207"/>
      <w:r/>
      <w:bookmarkStart w:id="549" w:name="_Toc296891027"/>
      <w:r/>
      <w:bookmarkStart w:id="550" w:name="_Toc296891239"/>
      <w:r/>
      <w:bookmarkStart w:id="551" w:name="_Toc297048385"/>
      <w:r/>
      <w:bookmarkStart w:id="552" w:name="_Toc303539154"/>
      <w:r/>
      <w:bookmarkStart w:id="553" w:name="_Toc296503199"/>
      <w:r/>
      <w:bookmarkStart w:id="554" w:name="_Toc297123548"/>
      <w:r/>
      <w:bookmarkStart w:id="555" w:name="_Toc292559404"/>
      <w:r/>
      <w:bookmarkStart w:id="556" w:name="_Toc312678033"/>
      <w:r/>
      <w:bookmarkStart w:id="557" w:name="_Toc312677507"/>
      <w:r/>
      <w:bookmarkStart w:id="558" w:name="_Toc297120499"/>
      <w:r/>
      <w:bookmarkStart w:id="559" w:name="_Toc304295574"/>
      <w:r/>
      <w:bookmarkStart w:id="560" w:name="_Toc300934997"/>
      <w:r/>
      <w:bookmarkStart w:id="561" w:name="_Toc296346700"/>
      <w:r/>
      <w:bookmarkStart w:id="562" w:name="_Toc296944538"/>
      <w:r>
        <w:rPr>
          <w:rFonts w:hint="eastAsia" w:ascii="宋体" w:hAnsi="宋体" w:eastAsia="宋体"/>
          <w:b/>
          <w:color w:val="auto"/>
          <w:sz w:val="24"/>
          <w:szCs w:val="24"/>
          <w:highlight w:val="none"/>
        </w:rPr>
        <w:t xml:space="preserve">0.</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暂估价</w:t>
      </w:r>
      <w:bookmarkEnd w:id="545"/>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暂</w:t>
      </w:r>
      <w:bookmarkStart w:id="563" w:name="_Toc312678034"/>
      <w:r/>
      <w:bookmarkStart w:id="564" w:name="_Toc318581176"/>
      <w:r/>
      <w:bookmarkStart w:id="565" w:name="_Toc312677508"/>
      <w:r>
        <w:rPr>
          <w:rFonts w:hint="eastAsia" w:ascii="宋体" w:hAnsi="宋体" w:eastAsia="宋体"/>
          <w:color w:val="auto"/>
          <w:sz w:val="24"/>
          <w:szCs w:val="24"/>
          <w:highlight w:val="none"/>
        </w:rPr>
        <w:t xml:space="preserve">估价材料和工程设备的明细详见附件11：《暂估价一览表》。</w:t>
      </w:r>
      <w:bookmarkEnd w:id="563"/>
      <w:bookmarkEnd w:id="564"/>
      <w:bookmarkEnd w:id="565"/>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bookmarkStart w:id="566" w:name="_Toc312678035"/>
      <w:r/>
      <w:bookmarkStart w:id="567" w:name="_Toc312677509"/>
      <w:r/>
      <w:bookmarkStart w:id="568" w:name="_Toc318581177"/>
      <w:r>
        <w:rPr>
          <w:rFonts w:hint="eastAsia" w:ascii="宋体" w:hAnsi="宋体" w:eastAsia="宋体"/>
          <w:color w:val="auto"/>
          <w:sz w:val="24"/>
          <w:szCs w:val="24"/>
          <w:highlight w:val="none"/>
        </w:rPr>
        <w:t xml:space="preserve">0.</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依法必须招标的暂估价项目</w:t>
      </w:r>
      <w:bookmarkEnd w:id="566"/>
      <w:bookmarkEnd w:id="567"/>
      <w:bookmarkEnd w:id="568"/>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对于依法必须招标的暂估价项目的确认和批准采取第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种方式确定</w:t>
      </w:r>
      <w:r>
        <w:rPr>
          <w:rFonts w:hint="eastAsia" w:ascii="宋体" w:hAnsi="宋体" w:eastAsia="宋体"/>
          <w:color w:val="auto"/>
          <w:sz w:val="24"/>
          <w:szCs w:val="24"/>
          <w:highlight w:val="none"/>
          <w:u w:val="single"/>
        </w:rPr>
        <w:t xml:space="preserve">（参照通用条款10.7条）</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.2 不属于依法必须招标的暂估价项目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对于不属于依法必须招标的暂估价项目的确认和批准采取第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种方式确定</w:t>
      </w:r>
      <w:r>
        <w:rPr>
          <w:rFonts w:hint="eastAsia" w:ascii="宋体" w:hAnsi="宋体" w:eastAsia="宋体"/>
          <w:color w:val="auto"/>
          <w:sz w:val="24"/>
          <w:szCs w:val="24"/>
          <w:highlight w:val="none"/>
          <w:u w:val="single"/>
        </w:rPr>
        <w:t xml:space="preserve">（参照通用条款10.7条）</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第3种方式：承包人直接实施的暂估价项目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承包人直接实施的暂估价项目的约定：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10.</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暂列金额</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合同当事人关于暂列金额使用的约定：</w:t>
      </w:r>
      <w:r>
        <w:rPr>
          <w:rFonts w:hint="eastAsia" w:ascii="宋体" w:hAnsi="宋体" w:eastAsia="宋体"/>
          <w:color w:val="auto"/>
          <w:sz w:val="24"/>
          <w:szCs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p>
    <w:p>
      <w:pPr>
        <w:pStyle w:val="1140"/>
        <w:ind w:firstLine="482"/>
        <w:pageBreakBefore w:val="0"/>
        <w:spacing w:line="360" w:lineRule="auto"/>
        <w:rPr>
          <w:rFonts w:hint="eastAsia" w:ascii="宋体" w:hAnsi="宋体"/>
          <w:color w:val="auto"/>
          <w:sz w:val="24"/>
          <w:szCs w:val="24"/>
          <w:highlight w:val="none"/>
        </w:rPr>
      </w:pPr>
      <w:r/>
      <w:bookmarkStart w:id="569" w:name="_Toc351203643"/>
      <w:r>
        <w:rPr>
          <w:rFonts w:hint="eastAsia" w:ascii="宋体" w:hAnsi="宋体"/>
          <w:color w:val="auto"/>
          <w:sz w:val="24"/>
          <w:szCs w:val="24"/>
          <w:highlight w:val="none"/>
        </w:rPr>
        <w:t xml:space="preserve">11. 价格调整</w:t>
      </w:r>
      <w:bookmarkEnd w:id="569"/>
      <w:r/>
      <w:r/>
    </w:p>
    <w:p>
      <w:pPr>
        <w:ind w:firstLine="482"/>
        <w:pageBreakBefore w:val="0"/>
        <w:spacing w:line="360" w:lineRule="auto"/>
        <w:rPr>
          <w:rFonts w:hint="eastAsia" w:ascii="宋体" w:hAnsi="宋体" w:eastAsia="宋体"/>
          <w:b/>
          <w:color w:val="auto"/>
          <w:sz w:val="24"/>
          <w:szCs w:val="24"/>
          <w:highlight w:val="none"/>
        </w:rPr>
      </w:pPr>
      <w:r/>
      <w:bookmarkStart w:id="570" w:name="_Toc297048387"/>
      <w:r/>
      <w:bookmarkStart w:id="571" w:name="_Toc296891029"/>
      <w:r/>
      <w:bookmarkStart w:id="572" w:name="_Toc296346702"/>
      <w:r/>
      <w:bookmarkStart w:id="573" w:name="_Toc303539157"/>
      <w:r/>
      <w:bookmarkStart w:id="574" w:name="_Toc297120501"/>
      <w:r/>
      <w:bookmarkStart w:id="575" w:name="_Toc296503201"/>
      <w:r/>
      <w:bookmarkStart w:id="576" w:name="_Toc312678039"/>
      <w:r/>
      <w:bookmarkStart w:id="577" w:name="_Toc297123550"/>
      <w:r/>
      <w:bookmarkStart w:id="578" w:name="_Toc296891241"/>
      <w:r/>
      <w:bookmarkStart w:id="579" w:name="_Toc300935000"/>
      <w:r/>
      <w:bookmarkStart w:id="580" w:name="_Toc296944540"/>
      <w:r/>
      <w:bookmarkStart w:id="581" w:name="_Toc296347200"/>
      <w:r/>
      <w:bookmarkStart w:id="582" w:name="_Toc304295577"/>
      <w:r/>
      <w:bookmarkStart w:id="583" w:name="_Toc292559911"/>
      <w:r/>
      <w:bookmarkStart w:id="584" w:name="_Toc292559406"/>
      <w:r/>
      <w:bookmarkStart w:id="585" w:name="_Toc297216209"/>
      <w:r>
        <w:rPr>
          <w:rFonts w:hint="eastAsia" w:ascii="宋体" w:hAnsi="宋体" w:eastAsia="宋体"/>
          <w:b/>
          <w:color w:val="auto"/>
          <w:sz w:val="24"/>
          <w:szCs w:val="24"/>
          <w:highlight w:val="none"/>
        </w:rPr>
        <w:t xml:space="preserve">11.1 市场价格波动引起的调整：</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市场价格波动是否调整合同价格的约定：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人工费结算不再调整，由承包人按照江苏省人工费调整幅度预测，在投标报价时综合考虑上涨因素进行报价，风险由承包人承担。</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物价波动引起价格的调整参照执行南通市建设工程造价管理处（通建价</w:t>
      </w:r>
      <w:r>
        <w:rPr>
          <w:rFonts w:hint="eastAsia" w:ascii="宋体" w:hAnsi="宋体" w:cs="宋体"/>
          <w:color w:val="auto"/>
          <w:sz w:val="24"/>
          <w:szCs w:val="24"/>
          <w:highlight w:val="none"/>
          <w:u w:val="single"/>
          <w:lang w:eastAsia="zh-CN" w:bidi="ar"/>
        </w:rPr>
        <w:t xml:space="preserve">〔2016〕22号</w:t>
      </w:r>
      <w:r>
        <w:rPr>
          <w:rFonts w:hint="eastAsia" w:ascii="宋体" w:hAnsi="宋体" w:eastAsia="宋体" w:cs="宋体"/>
          <w:color w:val="auto"/>
          <w:sz w:val="24"/>
          <w:szCs w:val="24"/>
          <w:highlight w:val="none"/>
          <w:u w:val="single"/>
          <w:lang w:bidi="ar"/>
        </w:rPr>
        <w:t xml:space="preserve">）“关于建筑业实施营改增后进一步明确建设工程材料价格风险控制及价差调整计算方法的通知”。</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因市场价格波动调整合同价格，采用以下第</w:t>
      </w:r>
      <w:r>
        <w:rPr>
          <w:rFonts w:hint="eastAsia" w:ascii="宋体" w:hAnsi="宋体" w:eastAsia="宋体" w:cs="宋体"/>
          <w:color w:val="auto"/>
          <w:sz w:val="24"/>
          <w:szCs w:val="24"/>
          <w:highlight w:val="none"/>
          <w:u w:val="single"/>
          <w:lang w:bidi="ar"/>
        </w:rPr>
        <w:t xml:space="preserve">2</w:t>
      </w:r>
      <w:r>
        <w:rPr>
          <w:rFonts w:hint="eastAsia" w:ascii="宋体" w:hAnsi="宋体" w:eastAsia="宋体" w:cs="宋体"/>
          <w:color w:val="auto"/>
          <w:sz w:val="24"/>
          <w:szCs w:val="24"/>
          <w:highlight w:val="none"/>
          <w:lang w:bidi="ar"/>
        </w:rPr>
        <w:t xml:space="preserve">种方式对合同价格进行调整：</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第1种方式：采用价格指数进行价格调整。</w:t>
      </w:r>
      <w:r/>
    </w:p>
    <w:p>
      <w:pPr>
        <w:ind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 xml:space="preserve">关于各可调因子、定值和变值权重，以及基本价格指数及其来源的约定：</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lang w:bidi="ar"/>
        </w:rPr>
        <w:t xml:space="preserve">；  </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第2种方式：采用造价信息进行价格调整。</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（2）关于基准价格的约定：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1）</w:t>
      </w:r>
      <w:r>
        <w:rPr>
          <w:rFonts w:hint="eastAsia" w:ascii="宋体" w:hAnsi="宋体" w:eastAsia="宋体" w:cs="宋体"/>
          <w:color w:val="auto"/>
          <w:sz w:val="24"/>
          <w:szCs w:val="24"/>
          <w:highlight w:val="none"/>
          <w:u w:val="single"/>
          <w:lang w:bidi="ar"/>
        </w:rPr>
        <w:t xml:space="preserve">主要建筑材料费用占单位工程费用的比值a确定方法：</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a=【单位工程某类别建筑材料工程总数量（包括变更调整数量）×中标单价／单位工程结算总造价（不含人工、材料风险价差部分）】×100%。</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当a值＞5%时，该建筑材料为主要建筑材料，当a值≤5%，该建筑材料为非主要建筑材料。</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2）</w:t>
      </w:r>
      <w:r>
        <w:rPr>
          <w:rFonts w:hint="eastAsia" w:ascii="宋体" w:hAnsi="宋体" w:eastAsia="宋体" w:cs="宋体"/>
          <w:color w:val="auto"/>
          <w:sz w:val="24"/>
          <w:szCs w:val="24"/>
          <w:highlight w:val="none"/>
          <w:u w:val="single"/>
          <w:lang w:bidi="ar"/>
        </w:rPr>
        <w:t xml:space="preserve">承包人应承担的主要建筑材料价格涨跌风险幅度b应为5%：</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采用固定价格合同形式的建设工程，当工程施工期间非主要建筑材料价格上涨或下跌的，其差价均由承包人承担或收益；当工程施工期间主要建筑材料价格上涨或下跌幅度在5%以内（含5%）的，其差价由承包人承担或受益，超过5%的部分由发包人承担或受益。</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3）</w:t>
      </w:r>
      <w:r>
        <w:rPr>
          <w:rFonts w:hint="eastAsia" w:ascii="宋体" w:hAnsi="宋体" w:eastAsia="宋体" w:cs="宋体"/>
          <w:color w:val="auto"/>
          <w:sz w:val="24"/>
          <w:szCs w:val="24"/>
          <w:highlight w:val="none"/>
          <w:u w:val="single"/>
          <w:lang w:bidi="ar"/>
        </w:rPr>
        <w:t xml:space="preserve">主要建筑材料单价价差的取定：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施工期间主要建筑材料加权平均指导价=Σ（每月实际使用量×当月材料指导价）／该材料总用量。</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4．主要建筑材料数量的取定：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原则上调整主要建筑材料的数量应为已标价工程量清单及其综合单价分析表中的含量乘以实际完成的相应工程量。</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5．主要建筑材料价差调整金额的计算：</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①上涨超出b时，差价（正值）=【施工期间可调价材料加权平均指导价格-基准日档期的月份指导价格×(1+b</w:t>
      </w:r>
      <w:r>
        <w:rPr>
          <w:rFonts w:hint="eastAsia" w:ascii="宋体" w:hAnsi="宋体" w:cs="宋体"/>
          <w:color w:val="auto"/>
          <w:sz w:val="24"/>
          <w:szCs w:val="24"/>
          <w:highlight w:val="none"/>
          <w:u w:val="single"/>
          <w:lang w:eastAsia="zh-CN" w:bidi="ar"/>
        </w:rPr>
        <w:t xml:space="preserve">）</w:t>
      </w:r>
      <w:r>
        <w:rPr>
          <w:rFonts w:hint="eastAsia" w:ascii="宋体" w:hAnsi="宋体" w:eastAsia="宋体" w:cs="宋体"/>
          <w:color w:val="auto"/>
          <w:sz w:val="24"/>
          <w:szCs w:val="24"/>
          <w:highlight w:val="none"/>
          <w:u w:val="single"/>
          <w:lang w:bidi="ar"/>
        </w:rPr>
        <w:t xml:space="preserve">】×该类主要建筑材料数量</w:t>
      </w:r>
      <w:r>
        <w:rPr>
          <w:rFonts w:hint="eastAsia" w:ascii="宋体" w:hAnsi="宋体" w:eastAsia="宋体" w:cs="宋体"/>
          <w:color w:val="auto"/>
          <w:sz w:val="24"/>
          <w:szCs w:val="24"/>
          <w:highlight w:val="none"/>
          <w:u w:val="single"/>
          <w:lang w:eastAsia="zh-CN" w:bidi="ar"/>
        </w:rPr>
        <w:t xml:space="preserve">；</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②下跌超出b时，差价（负值）=【施工期间可调价材料加权平均指导价格-基准日档期的月份指导价格×（1-b）】× 该类主要建筑材料数量。</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6．主要建筑材料差价应根据计价定额规则计取相关费用和税金，并作为追加（减）合同价款和工程进度款同期支付。</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7．因发包人原因造成工期延误的，延误期间发生的材料价格上涨差额由发包人承担；因承包人原因造成工期延误的，延误期间发生的材料价格上涨差额由承包人承担。</w:t>
      </w:r>
      <w:r/>
    </w:p>
    <w:p>
      <w:pPr>
        <w:ind w:firstLine="480"/>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cs="宋体"/>
          <w:color w:val="auto"/>
          <w:sz w:val="24"/>
          <w:szCs w:val="24"/>
          <w:highlight w:val="none"/>
          <w:lang w:bidi="ar"/>
        </w:rPr>
        <w:t xml:space="preserve">第3种方式：其他价格调整方式：</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lang w:bidi="ar"/>
        </w:rPr>
        <w:t xml:space="preserve">。</w:t>
      </w:r>
      <w:bookmarkEnd w:id="472"/>
      <w:bookmarkEnd w:id="473"/>
      <w:bookmarkEnd w:id="474"/>
      <w:bookmarkEnd w:id="475"/>
      <w:bookmarkEnd w:id="476"/>
      <w:bookmarkEnd w:id="477"/>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r/>
    </w:p>
    <w:p>
      <w:pPr>
        <w:pStyle w:val="1140"/>
        <w:ind w:firstLine="482"/>
        <w:pageBreakBefore w:val="0"/>
        <w:spacing w:before="120" w:after="120" w:line="360" w:lineRule="auto"/>
        <w:rPr>
          <w:rFonts w:hint="eastAsia" w:ascii="宋体" w:hAnsi="宋体"/>
          <w:color w:val="auto"/>
          <w:sz w:val="24"/>
          <w:szCs w:val="24"/>
          <w:highlight w:val="none"/>
        </w:rPr>
      </w:pPr>
      <w:r/>
      <w:bookmarkStart w:id="586" w:name="_Toc296503205"/>
      <w:r/>
      <w:bookmarkStart w:id="587" w:name="_Toc297120505"/>
      <w:r/>
      <w:bookmarkStart w:id="588" w:name="_Toc296891033"/>
      <w:r/>
      <w:bookmarkStart w:id="589" w:name="_Toc297048391"/>
      <w:r/>
      <w:bookmarkStart w:id="590" w:name="_Toc292559410"/>
      <w:r/>
      <w:bookmarkStart w:id="591" w:name="_Toc296346706"/>
      <w:r/>
      <w:bookmarkStart w:id="592" w:name="_Toc296944544"/>
      <w:r/>
      <w:bookmarkStart w:id="593" w:name="_Toc292559915"/>
      <w:r/>
      <w:bookmarkStart w:id="594" w:name="_Toc296347204"/>
      <w:r/>
      <w:bookmarkStart w:id="595" w:name="_Toc296891245"/>
      <w:r/>
      <w:bookmarkStart w:id="596" w:name="_Toc351203644"/>
      <w:r/>
      <w:bookmarkStart w:id="597" w:name="_Toc304295579"/>
      <w:r/>
      <w:bookmarkStart w:id="598" w:name="_Toc312678040"/>
      <w:r/>
      <w:bookmarkStart w:id="599" w:name="_Toc303539159"/>
      <w:r/>
      <w:bookmarkStart w:id="600" w:name="_Toc297216211"/>
      <w:r/>
      <w:bookmarkStart w:id="601" w:name="_Toc297123552"/>
      <w:r/>
      <w:bookmarkStart w:id="602" w:name="_Toc300935002"/>
      <w:r>
        <w:rPr>
          <w:rFonts w:hint="eastAsia" w:ascii="宋体" w:hAnsi="宋体"/>
          <w:color w:val="auto"/>
          <w:sz w:val="24"/>
          <w:szCs w:val="24"/>
          <w:highlight w:val="none"/>
        </w:rPr>
        <w:t xml:space="preserve">12. </w:t>
      </w:r>
      <w:bookmarkEnd w:id="586"/>
      <w:r/>
      <w:bookmarkEnd w:id="587"/>
      <w:r/>
      <w:bookmarkEnd w:id="588"/>
      <w:r/>
      <w:bookmarkEnd w:id="589"/>
      <w:r/>
      <w:bookmarkEnd w:id="590"/>
      <w:r/>
      <w:bookmarkEnd w:id="591"/>
      <w:r/>
      <w:bookmarkEnd w:id="592"/>
      <w:r/>
      <w:bookmarkEnd w:id="593"/>
      <w:r/>
      <w:bookmarkEnd w:id="594"/>
      <w:r/>
      <w:bookmarkEnd w:id="595"/>
      <w:r>
        <w:rPr>
          <w:rFonts w:hint="eastAsia" w:ascii="宋体" w:hAnsi="宋体"/>
          <w:color w:val="auto"/>
          <w:sz w:val="24"/>
          <w:szCs w:val="24"/>
          <w:highlight w:val="none"/>
        </w:rPr>
        <w:t xml:space="preserve">合同价格、计量与支付</w:t>
      </w:r>
      <w:bookmarkEnd w:id="596"/>
      <w:r/>
      <w:bookmarkEnd w:id="597"/>
      <w:bookmarkEnd w:id="598"/>
      <w:bookmarkEnd w:id="599"/>
      <w:bookmarkEnd w:id="600"/>
      <w:bookmarkEnd w:id="601"/>
      <w:bookmarkEnd w:id="602"/>
      <w:r/>
    </w:p>
    <w:p>
      <w:pPr>
        <w:ind w:firstLine="482"/>
        <w:pageBreakBefore w:val="0"/>
        <w:spacing w:after="120" w:line="360" w:lineRule="auto"/>
        <w:rPr>
          <w:rFonts w:hint="eastAsia" w:ascii="宋体" w:hAnsi="宋体" w:eastAsia="宋体"/>
          <w:b/>
          <w:color w:val="auto"/>
          <w:sz w:val="24"/>
          <w:szCs w:val="24"/>
          <w:highlight w:val="none"/>
        </w:rPr>
      </w:pPr>
      <w:r/>
      <w:bookmarkStart w:id="603" w:name="_Toc292559916"/>
      <w:r/>
      <w:bookmarkStart w:id="604" w:name="_Toc292559411"/>
      <w:r/>
      <w:bookmarkStart w:id="605" w:name="_Toc267251461"/>
      <w:r/>
      <w:bookmarkStart w:id="606" w:name="_Toc297048392"/>
      <w:r/>
      <w:bookmarkStart w:id="607" w:name="_Toc297120506"/>
      <w:r/>
      <w:bookmarkStart w:id="608" w:name="_Toc296347205"/>
      <w:r/>
      <w:bookmarkStart w:id="609" w:name="_Toc296944545"/>
      <w:r/>
      <w:bookmarkStart w:id="610" w:name="_Toc296503206"/>
      <w:r/>
      <w:bookmarkStart w:id="611" w:name="_Toc296891246"/>
      <w:r/>
      <w:bookmarkStart w:id="612" w:name="_Toc296891034"/>
      <w:r/>
      <w:bookmarkStart w:id="613" w:name="_Toc296346707"/>
      <w:r/>
      <w:bookmarkStart w:id="614" w:name="_Toc312678041"/>
      <w:r/>
      <w:bookmarkStart w:id="615" w:name="_Toc297216212"/>
      <w:r/>
      <w:bookmarkStart w:id="616" w:name="_Toc297123553"/>
      <w:r/>
      <w:bookmarkStart w:id="617" w:name="_Toc303539160"/>
      <w:r/>
      <w:bookmarkStart w:id="618" w:name="_Toc300935003"/>
      <w:r/>
      <w:bookmarkStart w:id="619" w:name="_Toc304295580"/>
      <w:r>
        <w:rPr>
          <w:rFonts w:hint="eastAsia" w:ascii="宋体" w:hAnsi="宋体" w:eastAsia="宋体"/>
          <w:b/>
          <w:color w:val="auto"/>
          <w:sz w:val="24"/>
          <w:szCs w:val="24"/>
          <w:highlight w:val="none"/>
        </w:rPr>
        <w:t xml:space="preserve">12.1 合</w:t>
      </w:r>
      <w:bookmarkEnd w:id="603"/>
      <w:r/>
      <w:bookmarkEnd w:id="604"/>
      <w:r/>
      <w:bookmarkEnd w:id="605"/>
      <w:r>
        <w:rPr>
          <w:rFonts w:hint="eastAsia" w:ascii="宋体" w:hAnsi="宋体" w:eastAsia="宋体"/>
          <w:b/>
          <w:color w:val="auto"/>
          <w:sz w:val="24"/>
          <w:szCs w:val="24"/>
          <w:highlight w:val="none"/>
        </w:rPr>
        <w:t xml:space="preserve">同价</w:t>
      </w:r>
      <w:bookmarkEnd w:id="606"/>
      <w:r/>
      <w:bookmarkEnd w:id="607"/>
      <w:r/>
      <w:bookmarkEnd w:id="608"/>
      <w:r/>
      <w:bookmarkEnd w:id="609"/>
      <w:r/>
      <w:bookmarkEnd w:id="610"/>
      <w:r/>
      <w:bookmarkEnd w:id="611"/>
      <w:r/>
      <w:bookmarkEnd w:id="612"/>
      <w:r/>
      <w:bookmarkEnd w:id="613"/>
      <w:r>
        <w:rPr>
          <w:rFonts w:hint="eastAsia" w:ascii="宋体" w:hAnsi="宋体" w:eastAsia="宋体"/>
          <w:b/>
          <w:color w:val="auto"/>
          <w:sz w:val="24"/>
          <w:szCs w:val="24"/>
          <w:highlight w:val="none"/>
        </w:rPr>
        <w:t xml:space="preserve">格形式</w:t>
      </w:r>
      <w:bookmarkEnd w:id="614"/>
      <w:bookmarkEnd w:id="615"/>
      <w:bookmarkEnd w:id="616"/>
      <w:bookmarkEnd w:id="617"/>
      <w:bookmarkEnd w:id="618"/>
      <w:bookmarkEnd w:id="619"/>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1、单价合同。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综合单价包含的风险范围：</w:t>
      </w:r>
      <w:r>
        <w:rPr>
          <w:rFonts w:hint="eastAsia" w:ascii="宋体" w:hAnsi="宋体" w:eastAsia="宋体"/>
          <w:color w:val="auto"/>
          <w:sz w:val="24"/>
          <w:szCs w:val="24"/>
          <w:highlight w:val="none"/>
          <w:u w:val="single"/>
        </w:rPr>
        <w:t xml:space="preserve">各种因素引起的人工工资、施工机械使用费、管理费、利润等变化及风险因素均不作调整。</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风险费用的计算方法：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风险范围以外合同价格的调整方法：</w:t>
      </w:r>
      <w:r>
        <w:rPr>
          <w:rFonts w:hint="eastAsia" w:ascii="宋体" w:hAnsi="宋体" w:eastAsia="宋体"/>
          <w:color w:val="auto"/>
          <w:sz w:val="24"/>
          <w:szCs w:val="24"/>
          <w:highlight w:val="none"/>
          <w:u w:val="single"/>
        </w:rPr>
        <w:t xml:space="preserve">均不作调整</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总价包含的风险范围：</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风险费用的计算方法：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风险范围以外合同价格的调整方法：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3、其他价格方式：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after="120" w:line="360" w:lineRule="auto"/>
        <w:rPr>
          <w:rFonts w:hint="eastAsia" w:ascii="宋体" w:hAnsi="宋体" w:eastAsia="宋体"/>
          <w:color w:val="auto"/>
          <w:sz w:val="24"/>
          <w:szCs w:val="24"/>
          <w:highlight w:val="none"/>
        </w:rPr>
      </w:pPr>
      <w:r/>
      <w:bookmarkStart w:id="620" w:name="_Toc304295581"/>
      <w:r/>
      <w:bookmarkStart w:id="621" w:name="_Toc312678042"/>
      <w:r/>
      <w:bookmarkStart w:id="622" w:name="_Toc297123554"/>
      <w:r/>
      <w:bookmarkStart w:id="623" w:name="_Toc297216213"/>
      <w:r/>
      <w:bookmarkStart w:id="624" w:name="_Toc303539161"/>
      <w:r/>
      <w:bookmarkStart w:id="625" w:name="_Toc300935004"/>
      <w:r/>
      <w:bookmarkStart w:id="626" w:name="_Toc297120507"/>
      <w:r/>
      <w:bookmarkStart w:id="627" w:name="_Toc292559412"/>
      <w:r/>
      <w:bookmarkStart w:id="628" w:name="_Toc297048393"/>
      <w:r/>
      <w:bookmarkStart w:id="629" w:name="_Toc296346708"/>
      <w:r/>
      <w:bookmarkStart w:id="630" w:name="_Toc292559917"/>
      <w:r/>
      <w:bookmarkStart w:id="631" w:name="_Toc296891247"/>
      <w:r/>
      <w:bookmarkStart w:id="632" w:name="_Toc296891035"/>
      <w:r/>
      <w:bookmarkStart w:id="633" w:name="_Toc296347206"/>
      <w:r/>
      <w:bookmarkStart w:id="634" w:name="_Toc296944546"/>
      <w:r/>
      <w:bookmarkStart w:id="635" w:name="_Toc296503207"/>
      <w:r>
        <w:rPr>
          <w:rFonts w:hint="eastAsia" w:ascii="宋体" w:hAnsi="宋体" w:eastAsia="宋体"/>
          <w:color w:val="auto"/>
          <w:sz w:val="24"/>
          <w:szCs w:val="24"/>
          <w:highlight w:val="none"/>
        </w:rPr>
        <w:t xml:space="preserve">12.2 预付款</w:t>
      </w:r>
      <w:bookmarkEnd w:id="620"/>
      <w:bookmarkEnd w:id="621"/>
      <w:bookmarkEnd w:id="622"/>
      <w:bookmarkEnd w:id="623"/>
      <w:bookmarkEnd w:id="624"/>
      <w:bookmarkEnd w:id="625"/>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12.2.1 预付款的支付</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预付款支付比例或金额：</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预付款支付期限：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预付款扣回的方式：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12.2.2 预付款担保</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承包人提交预付款担保的期限：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预付款担保的形式为：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626"/>
      <w:bookmarkEnd w:id="627"/>
      <w:bookmarkEnd w:id="628"/>
      <w:bookmarkEnd w:id="629"/>
      <w:bookmarkEnd w:id="630"/>
      <w:bookmarkEnd w:id="631"/>
      <w:bookmarkEnd w:id="632"/>
      <w:bookmarkEnd w:id="633"/>
      <w:bookmarkEnd w:id="634"/>
      <w:bookmarkEnd w:id="635"/>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 计量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12.3.1 计量原则</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工程量计算规则：</w:t>
      </w:r>
      <w:r>
        <w:rPr>
          <w:rFonts w:hint="eastAsia" w:ascii="宋体" w:hAnsi="宋体" w:eastAsia="宋体"/>
          <w:color w:val="auto"/>
          <w:sz w:val="24"/>
          <w:szCs w:val="24"/>
          <w:highlight w:val="none"/>
          <w:u w:val="single"/>
        </w:rPr>
        <w:t xml:space="preserve">《建设工程工程量清单计价规范》(GB50500-2013</w:t>
      </w: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及其9本工程量计算规范、苏建价〔2014〕448号文、工程技术要求等；《建设工程工程量清单计价规范》（2014）版，《江苏省建筑与市政工程计价表》（2014），《江苏省安装工程计价表》（2014），《江苏省市政工程计价表》（2014），《江苏省建设工程费用定额》（2014）营改增；税金费率按江苏省住房和城乡建设厅苏建函价</w:t>
      </w:r>
      <w:r>
        <w:rPr>
          <w:rFonts w:hint="eastAsia" w:ascii="宋体" w:hAnsi="宋体"/>
          <w:color w:val="auto"/>
          <w:sz w:val="24"/>
          <w:szCs w:val="24"/>
          <w:highlight w:val="none"/>
          <w:u w:val="single"/>
          <w:lang w:eastAsia="zh-CN"/>
        </w:rPr>
        <w:t xml:space="preserve">〔2019〕411号</w:t>
      </w:r>
      <w:r>
        <w:rPr>
          <w:rFonts w:hint="eastAsia" w:ascii="宋体" w:hAnsi="宋体" w:eastAsia="宋体"/>
          <w:color w:val="auto"/>
          <w:sz w:val="24"/>
          <w:szCs w:val="24"/>
          <w:highlight w:val="none"/>
          <w:u w:val="single"/>
        </w:rPr>
        <w:t xml:space="preserve">；人工工资按苏建函价</w:t>
      </w:r>
      <w:r>
        <w:rPr>
          <w:rFonts w:hint="eastAsia" w:ascii="宋体" w:hAnsi="宋体"/>
          <w:color w:val="auto"/>
          <w:sz w:val="24"/>
          <w:szCs w:val="24"/>
          <w:highlight w:val="none"/>
          <w:u w:val="single"/>
          <w:lang w:eastAsia="zh-CN"/>
        </w:rPr>
        <w:t xml:space="preserve">〔2024〕348号</w:t>
      </w:r>
      <w:r>
        <w:rPr>
          <w:rFonts w:hint="eastAsia" w:ascii="宋体" w:hAnsi="宋体" w:eastAsia="宋体"/>
          <w:color w:val="auto"/>
          <w:sz w:val="24"/>
          <w:szCs w:val="24"/>
          <w:highlight w:val="none"/>
          <w:u w:val="single"/>
        </w:rPr>
        <w:t xml:space="preserve">《省住房城乡建设厅关于发布建设工程人工工资指导价的通知》执行；现行南通市建设行政主管部门的文件及有关规定。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12.3.2 计量周期</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关于计量周期的约定：</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12.3.3 单价合同的计量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关于单价合同计量的约定：</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12.3.4 总价合同的计量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关于总价合同计量的约定：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12.3.6 其他价格形式合同的计量</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其他价格形式的计量方式和程序：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 工程进度款支付</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12.4.1 付款周期</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关于付款周期的约定：</w:t>
      </w:r>
      <w:r/>
    </w:p>
    <w:p>
      <w:pPr>
        <w:ind w:firstLine="480"/>
        <w:jc w:val="left"/>
        <w:pageBreakBefore w:val="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镇级验收合格后付至合同价的70%，审计结束后付至工程审计价的97%，余工程审计价的3%在质保期结束后支付。</w:t>
      </w:r>
      <w:r/>
    </w:p>
    <w:p>
      <w:pPr>
        <w:ind w:firstLine="482"/>
        <w:jc w:val="left"/>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cs="宋体"/>
          <w:b/>
          <w:color w:val="auto"/>
          <w:sz w:val="24"/>
          <w:szCs w:val="24"/>
          <w:highlight w:val="none"/>
          <w:lang w:eastAsia="zh-CN"/>
        </w:rPr>
        <w:t xml:space="preserve">每次支付前，承包人均应出具税务部门开具的相应金额的税务发票。否则发包人有权拒付工程款，且不承担延期支付款项的违约责任</w:t>
      </w:r>
      <w:r>
        <w:rPr>
          <w:rFonts w:hint="eastAsia" w:ascii="宋体" w:hAnsi="宋体" w:eastAsia="宋体" w:cs="宋体"/>
          <w:b/>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12.4.2 进度付款申请单的编制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关于进度付款申请单编制的约定：</w:t>
      </w:r>
      <w:r>
        <w:rPr>
          <w:rFonts w:hint="eastAsia" w:ascii="宋体" w:hAnsi="宋体" w:eastAsia="宋体"/>
          <w:color w:val="auto"/>
          <w:sz w:val="24"/>
          <w:szCs w:val="24"/>
          <w:highlight w:val="none"/>
          <w:u w:val="single"/>
        </w:rPr>
        <w:t xml:space="preserve">已完成约定进度的证明，相应金额的税务发票</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12.4.3 进度付款申请单的提交</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（1）单价合同进度付款申请单提交的约定：</w:t>
      </w:r>
      <w:r>
        <w:rPr>
          <w:rFonts w:hint="eastAsia" w:ascii="宋体" w:hAnsi="宋体" w:eastAsia="宋体"/>
          <w:color w:val="auto"/>
          <w:sz w:val="24"/>
          <w:szCs w:val="24"/>
          <w:highlight w:val="none"/>
          <w:u w:val="single"/>
        </w:rPr>
        <w:t xml:space="preserve">按节点提交</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（2）总价合同进度付款申请单提交的约定：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（3）其他价格形式合同进度付款申请单提交的约定：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12.4.4 进度款审核和支付</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（1）监理人审查并报送发包人的期限：</w:t>
      </w:r>
      <w:r>
        <w:rPr>
          <w:rFonts w:hint="eastAsia" w:ascii="宋体" w:hAnsi="宋体" w:eastAsia="宋体"/>
          <w:color w:val="auto"/>
          <w:sz w:val="24"/>
          <w:szCs w:val="24"/>
          <w:highlight w:val="none"/>
          <w:u w:val="single"/>
        </w:rPr>
        <w:t xml:space="preserve">  收到申请7天内   </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发包人完成审批并签发进度款支付证书的期限：</w:t>
      </w:r>
      <w:r>
        <w:rPr>
          <w:rFonts w:hint="eastAsia" w:ascii="宋体" w:hAnsi="宋体" w:eastAsia="宋体"/>
          <w:color w:val="auto"/>
          <w:sz w:val="24"/>
          <w:szCs w:val="24"/>
          <w:highlight w:val="none"/>
          <w:u w:val="single"/>
        </w:rPr>
        <w:t xml:space="preserve">收到通过监理审查的审核表后10天内。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（2）发包人支付进度款的期限：</w:t>
      </w:r>
      <w:r>
        <w:rPr>
          <w:rFonts w:hint="eastAsia" w:ascii="宋体" w:hAnsi="宋体" w:eastAsia="宋体"/>
          <w:color w:val="auto"/>
          <w:sz w:val="24"/>
          <w:szCs w:val="24"/>
          <w:highlight w:val="none"/>
          <w:u w:val="single"/>
        </w:rPr>
        <w:t xml:space="preserve">按合同要求执行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发包人逾期支付进度款的违约金的计算方式：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 支付分解表的编制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2、总价合同支付分解表的编制与审批：</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3、单价合同的总价项目支付分解表的编制与审批：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40"/>
        <w:ind w:firstLine="480"/>
        <w:pageBreakBefore w:val="0"/>
        <w:spacing w:line="360" w:lineRule="auto"/>
        <w:rPr>
          <w:rFonts w:hint="eastAsia" w:ascii="宋体" w:hAnsi="宋体"/>
          <w:b w:val="0"/>
          <w:color w:val="auto"/>
          <w:sz w:val="24"/>
          <w:szCs w:val="24"/>
          <w:highlight w:val="none"/>
        </w:rPr>
      </w:pPr>
      <w:r/>
      <w:bookmarkStart w:id="636" w:name="_Toc351203645"/>
      <w:r/>
      <w:bookmarkStart w:id="637" w:name="_Toc303539172"/>
      <w:r/>
      <w:bookmarkStart w:id="638" w:name="_Toc296891259"/>
      <w:r/>
      <w:bookmarkStart w:id="639" w:name="_Toc297048405"/>
      <w:r/>
      <w:bookmarkStart w:id="640" w:name="_Toc304295593"/>
      <w:r/>
      <w:bookmarkStart w:id="641" w:name="_Toc300935015"/>
      <w:r/>
      <w:bookmarkStart w:id="642" w:name="_Toc296347218"/>
      <w:r/>
      <w:bookmarkStart w:id="643" w:name="_Toc296503219"/>
      <w:r/>
      <w:bookmarkStart w:id="644" w:name="_Toc297120519"/>
      <w:r/>
      <w:bookmarkStart w:id="645" w:name="_Toc297216223"/>
      <w:r/>
      <w:bookmarkStart w:id="646" w:name="_Toc296346720"/>
      <w:r/>
      <w:bookmarkStart w:id="647" w:name="_Toc296944558"/>
      <w:r/>
      <w:bookmarkStart w:id="648" w:name="_Toc312678053"/>
      <w:r/>
      <w:bookmarkStart w:id="649" w:name="_Toc292559424"/>
      <w:r/>
      <w:bookmarkStart w:id="650" w:name="_Toc292559929"/>
      <w:r/>
      <w:bookmarkStart w:id="651" w:name="_Toc296891047"/>
      <w:r/>
      <w:bookmarkStart w:id="652" w:name="_Toc297123564"/>
      <w:r>
        <w:rPr>
          <w:rFonts w:hint="eastAsia" w:ascii="宋体" w:hAnsi="宋体"/>
          <w:b w:val="0"/>
          <w:color w:val="auto"/>
          <w:sz w:val="24"/>
          <w:szCs w:val="24"/>
          <w:highlight w:val="none"/>
        </w:rPr>
        <w:t xml:space="preserve">13. 验收和工程试车</w:t>
      </w:r>
      <w:bookmarkEnd w:id="636"/>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 分部分项工程验收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监理人不能按时进行验收时，应提前</w:t>
      </w:r>
      <w:r>
        <w:rPr>
          <w:rFonts w:hint="eastAsia" w:ascii="宋体" w:hAnsi="宋体" w:eastAsia="宋体"/>
          <w:color w:val="auto"/>
          <w:sz w:val="24"/>
          <w:szCs w:val="24"/>
          <w:highlight w:val="none"/>
          <w:u w:val="single"/>
        </w:rPr>
        <w:t xml:space="preserve">12</w:t>
      </w:r>
      <w:r>
        <w:rPr>
          <w:rFonts w:hint="eastAsia" w:ascii="宋体" w:hAnsi="宋体" w:eastAsia="宋体"/>
          <w:color w:val="auto"/>
          <w:sz w:val="24"/>
          <w:szCs w:val="24"/>
          <w:highlight w:val="none"/>
        </w:rPr>
        <w:t xml:space="preserve">小时提交书面延期要求。</w:t>
      </w:r>
      <w:r/>
    </w:p>
    <w:p>
      <w:pPr>
        <w:ind w:firstLine="480"/>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关于延期最长不得超过：</w:t>
      </w:r>
      <w:r>
        <w:rPr>
          <w:rFonts w:hint="eastAsia" w:ascii="宋体" w:hAnsi="宋体" w:eastAsia="宋体"/>
          <w:color w:val="auto"/>
          <w:sz w:val="24"/>
          <w:szCs w:val="24"/>
          <w:highlight w:val="none"/>
          <w:u w:val="single"/>
        </w:rPr>
        <w:t xml:space="preserve">24</w:t>
      </w:r>
      <w:r>
        <w:rPr>
          <w:rFonts w:hint="eastAsia" w:ascii="宋体" w:hAnsi="宋体" w:eastAsia="宋体"/>
          <w:color w:val="auto"/>
          <w:sz w:val="24"/>
          <w:szCs w:val="24"/>
          <w:highlight w:val="none"/>
        </w:rPr>
        <w:t xml:space="preserve">小时。</w:t>
      </w:r>
      <w:r/>
    </w:p>
    <w:p>
      <w:pPr>
        <w:ind w:firstLine="480"/>
        <w:pageBreakBefore w:val="0"/>
        <w:spacing w:line="360" w:lineRule="auto"/>
        <w:rPr>
          <w:rFonts w:hint="eastAsia" w:ascii="宋体" w:hAnsi="宋体" w:eastAsia="宋体"/>
          <w:color w:val="auto"/>
          <w:sz w:val="24"/>
          <w:szCs w:val="24"/>
          <w:highlight w:val="none"/>
        </w:rPr>
      </w:pPr>
      <w:r/>
      <w:bookmarkStart w:id="653" w:name="_Toc296891263"/>
      <w:r/>
      <w:bookmarkStart w:id="654" w:name="_Toc292559933"/>
      <w:r/>
      <w:bookmarkStart w:id="655" w:name="_Toc296944562"/>
      <w:r/>
      <w:bookmarkStart w:id="656" w:name="_Toc296891051"/>
      <w:r/>
      <w:bookmarkStart w:id="657" w:name="_Toc296347222"/>
      <w:r/>
      <w:bookmarkStart w:id="658" w:name="_Toc297216224"/>
      <w:r/>
      <w:bookmarkStart w:id="659" w:name="_Toc312678056"/>
      <w:r/>
      <w:bookmarkStart w:id="660" w:name="_Toc303539173"/>
      <w:r/>
      <w:bookmarkStart w:id="661" w:name="_Toc300935016"/>
      <w:r/>
      <w:bookmarkStart w:id="662" w:name="_Toc297048409"/>
      <w:r/>
      <w:bookmarkStart w:id="663" w:name="_Toc296503223"/>
      <w:r/>
      <w:bookmarkStart w:id="664" w:name="_Toc297123565"/>
      <w:r/>
      <w:bookmarkStart w:id="665" w:name="_Toc292559428"/>
      <w:r/>
      <w:bookmarkStart w:id="666" w:name="_Toc297120523"/>
      <w:r/>
      <w:bookmarkStart w:id="667" w:name="_Toc304295596"/>
      <w:r/>
      <w:bookmarkStart w:id="668" w:name="_Toc296346724"/>
      <w:r/>
      <w:bookmarkStart w:id="669" w:name="_Toc267251476"/>
      <w:r/>
      <w:bookmarkStart w:id="670" w:name="_Toc267251474"/>
      <w:r/>
      <w:bookmarkStart w:id="671" w:name="_Toc267251472"/>
      <w:r/>
      <w:bookmarkStart w:id="672" w:name="_Toc267251471"/>
      <w:r/>
      <w:bookmarkStart w:id="673" w:name="_Toc267251470"/>
      <w:r/>
      <w:bookmarkStart w:id="674" w:name="_Toc267251475"/>
      <w:r/>
      <w:bookmarkStart w:id="675" w:name="_Toc267251473"/>
      <w:r>
        <w:rPr>
          <w:rFonts w:hint="eastAsia" w:ascii="宋体" w:hAnsi="宋体" w:eastAsia="宋体"/>
          <w:color w:val="auto"/>
          <w:sz w:val="24"/>
          <w:szCs w:val="24"/>
          <w:highlight w:val="none"/>
        </w:rPr>
        <w:t xml:space="preserve">13.2 竣工验收</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r/>
    </w:p>
    <w:p>
      <w:pPr>
        <w:ind w:firstLine="480"/>
        <w:jc w:val="left"/>
        <w:pageBreakBefore w:val="0"/>
        <w:spacing w:line="360" w:lineRule="auto"/>
        <w:rPr>
          <w:rFonts w:hint="eastAsia" w:ascii="宋体" w:hAnsi="宋体" w:eastAsia="宋体"/>
          <w:color w:val="auto"/>
          <w:sz w:val="24"/>
          <w:szCs w:val="24"/>
          <w:highlight w:val="none"/>
        </w:rPr>
      </w:pPr>
      <w:r/>
      <w:bookmarkStart w:id="676" w:name="_Toc280868704"/>
      <w:r/>
      <w:bookmarkStart w:id="677" w:name="_Toc280868705"/>
      <w:r/>
      <w:bookmarkStart w:id="678" w:name="_Toc280868706"/>
      <w:r/>
      <w:bookmarkStart w:id="679" w:name="_Toc280868707"/>
      <w:r/>
      <w:bookmarkStart w:id="680" w:name="_Toc280868708"/>
      <w:r/>
      <w:bookmarkStart w:id="681" w:name="_Toc280868709"/>
      <w:r>
        <w:rPr>
          <w:rFonts w:hint="eastAsia" w:ascii="宋体" w:hAnsi="宋体" w:eastAsia="宋体"/>
          <w:color w:val="auto"/>
          <w:sz w:val="24"/>
          <w:szCs w:val="24"/>
          <w:highlight w:val="none"/>
        </w:rPr>
        <w:t xml:space="preserve">13.2.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竣工验收程序</w:t>
      </w:r>
      <w:bookmarkEnd w:id="676"/>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关于竣工验收程序的约定：</w:t>
      </w:r>
      <w:r>
        <w:rPr>
          <w:rFonts w:hint="eastAsia" w:ascii="宋体" w:hAnsi="宋体" w:eastAsia="宋体"/>
          <w:color w:val="auto"/>
          <w:sz w:val="24"/>
          <w:szCs w:val="24"/>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发包人不按照本项约定组织竣工验收、颁发工程接收证书的，</w:t>
      </w:r>
      <w:r>
        <w:rPr>
          <w:rFonts w:hint="eastAsia" w:ascii="宋体" w:hAnsi="宋体" w:eastAsia="宋体"/>
          <w:color w:val="auto"/>
          <w:sz w:val="24"/>
          <w:szCs w:val="24"/>
          <w:highlight w:val="none"/>
          <w:u w:val="single"/>
        </w:rPr>
        <w:t xml:space="preserve">竣工资料履约保证金不予退还，并额外承担违约金，违约金的计算方法：按通用条款执行</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发包人不按照本项约定组织竣工验收、颁发工程接收证书的违约金的计算方法：</w:t>
      </w:r>
      <w:bookmarkEnd w:id="677"/>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移交、接收全部与部分工程</w:t>
      </w:r>
      <w:bookmarkEnd w:id="678"/>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承包人向发包人移交工程的期限：</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发包人未按本合同约定接收全部或部分工程的，违约金的计算方法为：</w:t>
      </w:r>
      <w:r>
        <w:rPr>
          <w:rFonts w:hint="eastAsia" w:ascii="宋体" w:hAnsi="宋体" w:eastAsia="宋体"/>
          <w:color w:val="auto"/>
          <w:sz w:val="24"/>
          <w:szCs w:val="24"/>
          <w:highlight w:val="none"/>
          <w:u w:val="single"/>
        </w:rPr>
        <w:t xml:space="preserve">                               </w:t>
      </w:r>
      <w:bookmarkEnd w:id="679"/>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承包人未按时移交工程的，违约金的计算方法为：</w:t>
      </w:r>
      <w:r>
        <w:rPr>
          <w:rFonts w:hint="eastAsia" w:ascii="宋体" w:hAnsi="宋体" w:eastAsia="宋体"/>
          <w:color w:val="auto"/>
          <w:sz w:val="24"/>
          <w:szCs w:val="24"/>
          <w:highlight w:val="none"/>
          <w:u w:val="single"/>
        </w:rPr>
        <w:t xml:space="preserve">承包人每日需向发包人按照工程合同暂定造价0.5‰承担违约责任，赔偿未按时移交工程给发包人产生的其他直接和间接损失。</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 工程试车</w:t>
      </w:r>
      <w:bookmarkEnd w:id="680"/>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13.3.1 试车程序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工程试车内容：</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（1）单机无负荷试车费用由</w:t>
      </w:r>
      <w:r>
        <w:rPr>
          <w:rFonts w:hint="eastAsia" w:ascii="宋体" w:hAnsi="宋体" w:eastAsia="宋体"/>
          <w:color w:val="auto"/>
          <w:sz w:val="24"/>
          <w:szCs w:val="24"/>
          <w:highlight w:val="none"/>
          <w:u w:val="single"/>
        </w:rPr>
        <w:t xml:space="preserve">  已含在双方约定的计价中  </w:t>
      </w:r>
      <w:r>
        <w:rPr>
          <w:rFonts w:hint="eastAsia" w:ascii="宋体" w:hAnsi="宋体" w:eastAsia="宋体"/>
          <w:color w:val="auto"/>
          <w:sz w:val="24"/>
          <w:szCs w:val="24"/>
          <w:highlight w:val="none"/>
        </w:rPr>
        <w:t xml:space="preserve">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（2）无负荷联动试车费用由</w:t>
      </w:r>
      <w:r>
        <w:rPr>
          <w:rFonts w:hint="eastAsia" w:ascii="宋体" w:hAnsi="宋体" w:eastAsia="宋体"/>
          <w:color w:val="auto"/>
          <w:sz w:val="24"/>
          <w:szCs w:val="24"/>
          <w:highlight w:val="none"/>
          <w:u w:val="single"/>
        </w:rPr>
        <w:t xml:space="preserve">  已含在双方约定的计价中  </w:t>
      </w:r>
      <w:r>
        <w:rPr>
          <w:rFonts w:hint="eastAsia" w:ascii="宋体" w:hAnsi="宋体" w:eastAsia="宋体"/>
          <w:color w:val="auto"/>
          <w:sz w:val="24"/>
          <w:szCs w:val="24"/>
          <w:highlight w:val="none"/>
        </w:rPr>
        <w:t xml:space="preserve">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投料试车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关于投料试车相关事项的约定：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682" w:name="_Toc17339"/>
      <w:r>
        <w:rPr>
          <w:rFonts w:hint="eastAsia" w:ascii="宋体" w:hAnsi="宋体" w:eastAsia="宋体"/>
          <w:color w:val="auto"/>
          <w:sz w:val="24"/>
          <w:szCs w:val="24"/>
          <w:highlight w:val="none"/>
        </w:rPr>
        <w:t xml:space="preserve">13.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竣工退场</w:t>
      </w:r>
      <w:bookmarkEnd w:id="682"/>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竣工退场</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承包人完成竣工退场的期限：</w:t>
      </w:r>
      <w:r>
        <w:rPr>
          <w:rFonts w:hint="eastAsia" w:ascii="宋体" w:hAnsi="宋体" w:eastAsia="宋体"/>
          <w:color w:val="auto"/>
          <w:sz w:val="24"/>
          <w:szCs w:val="24"/>
          <w:highlight w:val="none"/>
          <w:u w:val="single"/>
        </w:rPr>
        <w:t xml:space="preserve">工程竣工验收后15天内</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pStyle w:val="1140"/>
        <w:ind w:firstLine="480"/>
        <w:pageBreakBefore w:val="0"/>
        <w:spacing w:line="360" w:lineRule="auto"/>
        <w:rPr>
          <w:rFonts w:hint="eastAsia" w:ascii="宋体" w:hAnsi="宋体"/>
          <w:b w:val="0"/>
          <w:color w:val="auto"/>
          <w:sz w:val="24"/>
          <w:szCs w:val="24"/>
          <w:highlight w:val="none"/>
        </w:rPr>
      </w:pPr>
      <w:r/>
      <w:bookmarkStart w:id="683" w:name="_Toc351203646"/>
      <w:r>
        <w:rPr>
          <w:rFonts w:hint="eastAsia" w:ascii="宋体" w:hAnsi="宋体"/>
          <w:b w:val="0"/>
          <w:color w:val="auto"/>
          <w:sz w:val="24"/>
          <w:szCs w:val="24"/>
          <w:highlight w:val="none"/>
        </w:rPr>
        <w:t xml:space="preserve">14. 竣工结算</w:t>
      </w:r>
      <w:bookmarkEnd w:id="68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14.1 竣工结算申请</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承包人提交竣工结算申请单的期限：</w:t>
      </w:r>
      <w:r>
        <w:rPr>
          <w:rFonts w:hint="eastAsia" w:ascii="宋体" w:hAnsi="宋体" w:eastAsia="宋体"/>
          <w:color w:val="auto"/>
          <w:sz w:val="24"/>
          <w:szCs w:val="24"/>
          <w:highlight w:val="none"/>
          <w:u w:val="single"/>
        </w:rPr>
        <w:t xml:space="preserve">工程竣工验收合格，且工程竣工验收备案通过后30天内向发包人和监理人提交竣工结算申请单，并提交完整的结算资料。</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竣工结算申请单应包括的内容：</w:t>
      </w:r>
      <w:r>
        <w:rPr>
          <w:rFonts w:hint="eastAsia" w:ascii="宋体" w:hAnsi="宋体" w:eastAsia="宋体"/>
          <w:color w:val="auto"/>
          <w:sz w:val="24"/>
          <w:szCs w:val="24"/>
          <w:highlight w:val="none"/>
          <w:u w:val="single"/>
        </w:rPr>
        <w:t xml:space="preserve">按通用条款，提交的竣工结算资料必须完整，发包人不分次接受竣工结算资料；承包人逾期提交结算资料，造成竣工结算迟延支付的，发包人不承担违约责任。</w:t>
      </w:r>
      <w:r/>
    </w:p>
    <w:p>
      <w:pPr>
        <w:ind w:firstLine="480"/>
        <w:pageBreakBefore w:val="0"/>
        <w:spacing w:line="360" w:lineRule="auto"/>
        <w:rPr>
          <w:rFonts w:hint="eastAsia" w:ascii="宋体" w:hAnsi="宋体" w:eastAsia="宋体"/>
          <w:color w:val="auto"/>
          <w:sz w:val="24"/>
          <w:szCs w:val="24"/>
          <w:highlight w:val="none"/>
        </w:rPr>
        <w:outlineLvl w:val="0"/>
      </w:pPr>
      <w:r/>
      <w:bookmarkStart w:id="684" w:name="_Toc6846"/>
      <w:r>
        <w:rPr>
          <w:rFonts w:hint="eastAsia" w:ascii="宋体" w:hAnsi="宋体" w:eastAsia="宋体"/>
          <w:color w:val="auto"/>
          <w:sz w:val="24"/>
          <w:szCs w:val="24"/>
          <w:highlight w:val="none"/>
        </w:rPr>
        <w:t xml:space="preserve">14.2 竣工结算审核</w:t>
      </w:r>
      <w:bookmarkEnd w:id="684"/>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发包人审批竣工付款申请单的期限：</w:t>
      </w:r>
      <w:r>
        <w:rPr>
          <w:rFonts w:hint="eastAsia" w:ascii="宋体" w:hAnsi="宋体" w:eastAsia="宋体"/>
          <w:color w:val="auto"/>
          <w:sz w:val="24"/>
          <w:szCs w:val="24"/>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w:t>
      </w:r>
      <w:r>
        <w:rPr>
          <w:rFonts w:hint="eastAsia" w:ascii="宋体" w:hAnsi="宋体" w:eastAsia="宋体"/>
          <w:color w:val="auto"/>
          <w:sz w:val="24"/>
          <w:szCs w:val="24"/>
          <w:highlight w:val="none"/>
          <w:u w:val="single"/>
          <w:lang w:eastAsia="zh-CN"/>
        </w:rPr>
        <w:t xml:space="preserve">及时给予</w:t>
      </w:r>
      <w:r>
        <w:rPr>
          <w:rFonts w:hint="eastAsia" w:ascii="宋体" w:hAnsi="宋体" w:eastAsia="宋体"/>
          <w:color w:val="auto"/>
          <w:sz w:val="24"/>
          <w:szCs w:val="24"/>
          <w:highlight w:val="none"/>
          <w:u w:val="single"/>
        </w:rPr>
        <w:t xml:space="preserve">修正和确认，承包人不配合、不及时修正、不及时确认的，发包人有权相应顺延审计期；竣工结算的审计单位为发包人指定的具有相应资质的审计单位。</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发包人完成竣工付款的期限：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关于竣工付款证书异议部分复核的方式和程序：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最终结清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 最终结清申请单</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承包人提交最终结清申请单的份数：</w:t>
      </w:r>
      <w:r>
        <w:rPr>
          <w:rFonts w:hint="eastAsia" w:ascii="宋体" w:hAnsi="宋体" w:eastAsia="宋体"/>
          <w:color w:val="auto"/>
          <w:sz w:val="24"/>
          <w:szCs w:val="24"/>
          <w:highlight w:val="none"/>
          <w:u w:val="single"/>
        </w:rPr>
        <w:t xml:space="preserve">四份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承包人提交最终结算申请单的期限：</w:t>
      </w:r>
      <w:r>
        <w:rPr>
          <w:rFonts w:hint="eastAsia" w:ascii="宋体" w:hAnsi="宋体" w:eastAsia="宋体"/>
          <w:color w:val="auto"/>
          <w:sz w:val="24"/>
          <w:szCs w:val="24"/>
          <w:highlight w:val="none"/>
          <w:u w:val="single"/>
        </w:rPr>
        <w:t xml:space="preserve">质量保修期满</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.2 最终结清证书和支付</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（1）发包人完成最终结清申请单的审批并颁发最终结清证书的期限：</w:t>
      </w:r>
      <w:r>
        <w:rPr>
          <w:rFonts w:hint="eastAsia" w:ascii="宋体" w:hAnsi="宋体" w:eastAsia="宋体"/>
          <w:color w:val="auto"/>
          <w:sz w:val="24"/>
          <w:szCs w:val="24"/>
          <w:highlight w:val="none"/>
          <w:u w:val="single"/>
        </w:rPr>
        <w:t xml:space="preserve">收到申请28天内</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（2）发包人完成支付的期限：</w:t>
      </w:r>
      <w:r>
        <w:rPr>
          <w:rFonts w:hint="eastAsia" w:ascii="宋体" w:hAnsi="宋体" w:eastAsia="宋体"/>
          <w:color w:val="auto"/>
          <w:sz w:val="24"/>
          <w:szCs w:val="24"/>
          <w:highlight w:val="none"/>
          <w:u w:val="single"/>
        </w:rPr>
        <w:t xml:space="preserve">申请签发14天内</w:t>
      </w:r>
      <w:r>
        <w:rPr>
          <w:rFonts w:hint="eastAsia" w:ascii="宋体" w:hAnsi="宋体" w:eastAsia="宋体"/>
          <w:color w:val="auto"/>
          <w:sz w:val="24"/>
          <w:szCs w:val="24"/>
          <w:highlight w:val="none"/>
        </w:rPr>
        <w:t xml:space="preserve">。</w:t>
      </w:r>
      <w:bookmarkEnd w:id="669"/>
      <w:bookmarkEnd w:id="670"/>
      <w:bookmarkEnd w:id="671"/>
      <w:bookmarkEnd w:id="672"/>
      <w:bookmarkEnd w:id="673"/>
      <w:bookmarkEnd w:id="674"/>
      <w:bookmarkEnd w:id="675"/>
      <w:bookmarkEnd w:id="681"/>
      <w:r/>
    </w:p>
    <w:p>
      <w:pPr>
        <w:pStyle w:val="1140"/>
        <w:ind w:firstLine="482"/>
        <w:pageBreakBefore w:val="0"/>
        <w:spacing w:line="360" w:lineRule="auto"/>
        <w:rPr>
          <w:rFonts w:hint="eastAsia" w:ascii="宋体" w:hAnsi="宋体"/>
          <w:color w:val="auto"/>
          <w:sz w:val="24"/>
          <w:szCs w:val="24"/>
          <w:highlight w:val="none"/>
        </w:rPr>
      </w:pPr>
      <w:r/>
      <w:bookmarkStart w:id="685" w:name="_Toc351203647"/>
      <w:r/>
      <w:bookmarkStart w:id="686" w:name="_Toc267251483"/>
      <w:r/>
      <w:bookmarkStart w:id="687" w:name="_Toc267251484"/>
      <w:r/>
      <w:bookmarkStart w:id="688" w:name="_Toc267251482"/>
      <w:r/>
      <w:bookmarkStart w:id="689" w:name="_Toc267251485"/>
      <w:r/>
      <w:bookmarkStart w:id="690" w:name="_Toc267251488"/>
      <w:r/>
      <w:bookmarkStart w:id="691" w:name="_Toc267251486"/>
      <w:r/>
      <w:bookmarkStart w:id="692" w:name="_Toc267251490"/>
      <w:r/>
      <w:bookmarkStart w:id="693" w:name="_Toc267251489"/>
      <w:r/>
      <w:bookmarkStart w:id="694" w:name="_Toc267251491"/>
      <w:r/>
      <w:bookmarkStart w:id="695" w:name="_Toc267251503"/>
      <w:r/>
      <w:bookmarkStart w:id="696" w:name="_Toc267251499"/>
      <w:r/>
      <w:bookmarkStart w:id="697" w:name="_Toc267251496"/>
      <w:r/>
      <w:bookmarkStart w:id="698" w:name="_Toc267251501"/>
      <w:r/>
      <w:bookmarkStart w:id="699" w:name="_Toc267251497"/>
      <w:r/>
      <w:bookmarkStart w:id="700" w:name="_Toc267251498"/>
      <w:r/>
      <w:bookmarkStart w:id="701" w:name="_Toc267251492"/>
      <w:r/>
      <w:bookmarkStart w:id="702" w:name="_Toc267251494"/>
      <w:r/>
      <w:bookmarkStart w:id="703" w:name="_Toc267251495"/>
      <w:r/>
      <w:bookmarkStart w:id="704" w:name="_Toc267251502"/>
      <w:r/>
      <w:bookmarkStart w:id="705" w:name="_Toc267251493"/>
      <w:r/>
      <w:bookmarkStart w:id="706" w:name="_Toc267251506"/>
      <w:r/>
      <w:bookmarkStart w:id="707" w:name="_Toc267251504"/>
      <w:r/>
      <w:bookmarkStart w:id="708" w:name="_Toc267251507"/>
      <w:r/>
      <w:bookmarkStart w:id="709" w:name="_Toc267251508"/>
      <w:r/>
      <w:bookmarkStart w:id="710" w:name="_Toc267251515"/>
      <w:r/>
      <w:bookmarkStart w:id="711" w:name="_Toc267251514"/>
      <w:r/>
      <w:bookmarkStart w:id="712" w:name="_Toc267251513"/>
      <w:r/>
      <w:bookmarkStart w:id="713" w:name="_Toc267251510"/>
      <w:r/>
      <w:bookmarkStart w:id="714" w:name="_Toc267251509"/>
      <w:r/>
      <w:bookmarkStart w:id="715" w:name="_Toc267251511"/>
      <w:r>
        <w:rPr>
          <w:rFonts w:hint="eastAsia" w:ascii="宋体" w:hAnsi="宋体"/>
          <w:color w:val="auto"/>
          <w:sz w:val="24"/>
          <w:szCs w:val="24"/>
          <w:highlight w:val="none"/>
        </w:rPr>
        <w:t xml:space="preserve">15. 缺陷责任期与保修</w:t>
      </w:r>
      <w:bookmarkEnd w:id="685"/>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缺陷责任期</w:t>
      </w:r>
      <w:bookmarkEnd w:id="68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缺陷责任期的具体期限：</w:t>
      </w:r>
      <w:r>
        <w:rPr>
          <w:rFonts w:hint="eastAsia" w:ascii="宋体" w:hAnsi="宋体" w:eastAsia="宋体"/>
          <w:color w:val="auto"/>
          <w:sz w:val="24"/>
          <w:szCs w:val="24"/>
          <w:highlight w:val="none"/>
          <w:u w:val="single"/>
          <w:lang w:val="en-US" w:eastAsia="zh-CN"/>
        </w:rPr>
        <w:t xml:space="preserve">24</w:t>
      </w:r>
      <w:r>
        <w:rPr>
          <w:rFonts w:hint="eastAsia" w:ascii="宋体" w:hAnsi="宋体" w:eastAsia="宋体"/>
          <w:color w:val="auto"/>
          <w:sz w:val="24"/>
          <w:szCs w:val="24"/>
          <w:highlight w:val="none"/>
          <w:u w:val="single"/>
        </w:rPr>
        <w:t xml:space="preserve">个月。</w:t>
      </w:r>
      <w:r/>
    </w:p>
    <w:p>
      <w:pPr>
        <w:ind w:firstLine="480"/>
        <w:pageBreakBefore w:val="0"/>
        <w:spacing w:line="360" w:lineRule="auto"/>
        <w:rPr>
          <w:rFonts w:hint="eastAsia" w:ascii="宋体" w:hAnsi="宋体" w:eastAsia="宋体"/>
          <w:color w:val="auto"/>
          <w:sz w:val="24"/>
          <w:szCs w:val="24"/>
          <w:highlight w:val="none"/>
        </w:rPr>
        <w:outlineLvl w:val="0"/>
      </w:pPr>
      <w:r/>
      <w:bookmarkStart w:id="716" w:name="_Toc27683"/>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质量保证金</w:t>
      </w:r>
      <w:bookmarkEnd w:id="71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关于是否扣留质量保证金的约定：</w:t>
      </w:r>
      <w:r>
        <w:rPr>
          <w:rFonts w:hint="eastAsia" w:ascii="宋体" w:hAnsi="宋体" w:eastAsia="宋体"/>
          <w:color w:val="auto"/>
          <w:sz w:val="24"/>
          <w:szCs w:val="24"/>
          <w:highlight w:val="none"/>
          <w:u w:val="single"/>
        </w:rPr>
        <w:t xml:space="preserve">    扣留      </w:t>
      </w:r>
      <w:r>
        <w:rPr>
          <w:rFonts w:hint="eastAsia" w:ascii="宋体" w:hAnsi="宋体" w:eastAsia="宋体"/>
          <w:color w:val="auto"/>
          <w:sz w:val="24"/>
          <w:szCs w:val="24"/>
          <w:highlight w:val="none"/>
        </w:rPr>
        <w:t xml:space="preserve">。在工程项目竣工前，承包人按专用合同条款第3.7条提供履约担保的，发包人不得同时预留工程质量保证金。</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7" w:name="_Toc8790"/>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承包人提供质量保证金的方式</w:t>
      </w:r>
      <w:bookmarkEnd w:id="71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质量保证金采用以下第</w:t>
      </w:r>
      <w:r>
        <w:rPr>
          <w:rFonts w:hint="eastAsia" w:ascii="宋体" w:hAnsi="宋体"/>
          <w:color w:val="auto"/>
          <w:sz w:val="24"/>
          <w:szCs w:val="24"/>
          <w:highlight w:val="none"/>
          <w:u w:val="single"/>
          <w:lang w:val="en-US" w:eastAsia="zh-CN"/>
        </w:rPr>
        <w:t xml:space="preserve"> 2 </w:t>
      </w:r>
      <w:r>
        <w:rPr>
          <w:rFonts w:hint="eastAsia" w:ascii="宋体" w:hAnsi="宋体" w:eastAsia="宋体"/>
          <w:color w:val="auto"/>
          <w:sz w:val="24"/>
          <w:szCs w:val="24"/>
          <w:highlight w:val="none"/>
        </w:rPr>
        <w:t xml:space="preserve">种方式：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（1）质量保证金，保证金额为：</w:t>
      </w:r>
      <w:r>
        <w:rPr>
          <w:rFonts w:hint="eastAsia" w:ascii="宋体" w:hAnsi="宋体" w:eastAsia="宋体" w:cs="宋体"/>
          <w:bCs/>
          <w:color w:val="auto"/>
          <w:sz w:val="24"/>
          <w:szCs w:val="24"/>
          <w:highlight w:val="none"/>
          <w:u w:val="single"/>
        </w:rPr>
        <w:t xml:space="preserve">合同总额的</w:t>
      </w:r>
      <w:r>
        <w:rPr>
          <w:rFonts w:hint="eastAsia" w:ascii="宋体" w:hAnsi="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3 </w:t>
      </w:r>
      <w:r>
        <w:rPr>
          <w:rFonts w:hint="eastAsia" w:ascii="宋体" w:hAnsi="宋体" w:eastAsia="宋体"/>
          <w:color w:val="auto"/>
          <w:sz w:val="24"/>
          <w:szCs w:val="24"/>
          <w:highlight w:val="none"/>
        </w:rPr>
        <w:t xml:space="preserve">%的工程款；</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8" w:name="_Toc14219"/>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.2 质量保证金的扣留</w:t>
      </w:r>
      <w:bookmarkEnd w:id="718"/>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质量保证金的扣留采取以下第</w:t>
      </w:r>
      <w:r>
        <w:rPr>
          <w:rFonts w:hint="eastAsia" w:ascii="宋体" w:hAnsi="宋体"/>
          <w:color w:val="auto"/>
          <w:sz w:val="24"/>
          <w:szCs w:val="24"/>
          <w:highlight w:val="none"/>
          <w:u w:val="single"/>
          <w:lang w:val="en-US" w:eastAsia="zh-CN"/>
        </w:rPr>
        <w:t xml:space="preserve">  2  </w:t>
      </w:r>
      <w:r>
        <w:rPr>
          <w:rFonts w:hint="eastAsia" w:ascii="宋体" w:hAnsi="宋体" w:eastAsia="宋体"/>
          <w:color w:val="auto"/>
          <w:sz w:val="24"/>
          <w:szCs w:val="24"/>
          <w:highlight w:val="none"/>
        </w:rPr>
        <w:t xml:space="preserve">种方式：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9" w:name="_Toc27572"/>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退回履约保证金后，</w:t>
      </w:r>
      <w:r>
        <w:rPr>
          <w:rFonts w:hint="eastAsia" w:ascii="宋体" w:hAnsi="宋体" w:eastAsia="宋体"/>
          <w:color w:val="auto"/>
          <w:sz w:val="24"/>
          <w:szCs w:val="24"/>
          <w:highlight w:val="none"/>
        </w:rPr>
        <w:t xml:space="preserve">工程竣工结算时一次性扣留质量保证金；</w:t>
      </w:r>
      <w:bookmarkEnd w:id="719"/>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（3）其他扣留方式</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扣留质量履约保证金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关于质量保证金的补充约定：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687"/>
      <w:bookmarkEnd w:id="688"/>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保修</w:t>
      </w:r>
      <w:bookmarkEnd w:id="689"/>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 保修责任</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工程保修期为：</w:t>
      </w:r>
      <w:r>
        <w:rPr>
          <w:rFonts w:hint="eastAsia" w:ascii="宋体" w:hAnsi="宋体" w:eastAsia="宋体"/>
          <w:color w:val="auto"/>
          <w:sz w:val="24"/>
          <w:szCs w:val="24"/>
          <w:highlight w:val="none"/>
          <w:u w:val="single"/>
        </w:rPr>
        <w:t xml:space="preserve">详见质量保修协议。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.3 修复通知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承包人收到保修通知并到达工程现场的合理时间：</w:t>
      </w:r>
      <w:r>
        <w:rPr>
          <w:rFonts w:hint="eastAsia" w:ascii="宋体" w:hAnsi="宋体" w:eastAsia="宋体"/>
          <w:color w:val="auto"/>
          <w:sz w:val="24"/>
          <w:szCs w:val="24"/>
          <w:highlight w:val="none"/>
          <w:u w:val="single"/>
        </w:rPr>
        <w:t xml:space="preserve">详见质量保修协议。</w:t>
      </w:r>
      <w:bookmarkEnd w:id="690"/>
      <w:bookmarkEnd w:id="691"/>
      <w:bookmarkEnd w:id="692"/>
      <w:bookmarkEnd w:id="693"/>
      <w:r/>
    </w:p>
    <w:p>
      <w:pPr>
        <w:pStyle w:val="1140"/>
        <w:ind w:firstLine="482"/>
        <w:pageBreakBefore w:val="0"/>
        <w:spacing w:line="360" w:lineRule="auto"/>
        <w:rPr>
          <w:rFonts w:hint="eastAsia" w:ascii="宋体" w:hAnsi="宋体"/>
          <w:color w:val="auto"/>
          <w:sz w:val="24"/>
          <w:szCs w:val="24"/>
          <w:highlight w:val="none"/>
        </w:rPr>
      </w:pPr>
      <w:r/>
      <w:bookmarkStart w:id="720" w:name="_Toc351203648"/>
      <w:r/>
      <w:bookmarkStart w:id="721" w:name="_Toc280868717"/>
      <w:r/>
      <w:bookmarkStart w:id="722" w:name="_Toc280868718"/>
      <w:r>
        <w:rPr>
          <w:rFonts w:hint="eastAsia" w:ascii="宋体" w:hAnsi="宋体"/>
          <w:color w:val="auto"/>
          <w:sz w:val="24"/>
          <w:szCs w:val="24"/>
          <w:highlight w:val="none"/>
        </w:rPr>
        <w:t xml:space="preserve">16. 违约</w:t>
      </w:r>
      <w:bookmarkEnd w:id="720"/>
      <w:r/>
      <w:r/>
    </w:p>
    <w:p>
      <w:pPr>
        <w:ind w:firstLine="480"/>
        <w:pageBreakBefore w:val="0"/>
        <w:spacing w:line="360" w:lineRule="auto"/>
        <w:rPr>
          <w:rFonts w:hint="eastAsia" w:ascii="宋体" w:hAnsi="宋体" w:eastAsia="宋体"/>
          <w:color w:val="auto"/>
          <w:sz w:val="24"/>
          <w:szCs w:val="24"/>
          <w:highlight w:val="none"/>
        </w:rPr>
        <w:outlineLvl w:val="0"/>
      </w:pPr>
      <w:r/>
      <w:bookmarkStart w:id="723" w:name="_Toc25166"/>
      <w:r>
        <w:rPr>
          <w:rFonts w:hint="eastAsia" w:ascii="宋体" w:hAnsi="宋体" w:eastAsia="宋体"/>
          <w:color w:val="auto"/>
          <w:sz w:val="24"/>
          <w:szCs w:val="24"/>
          <w:highlight w:val="none"/>
        </w:rPr>
        <w:t xml:space="preserve">16.1 发包人违约</w:t>
      </w:r>
      <w:bookmarkEnd w:id="723"/>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16.1.1发包人违约的情形</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发包人违约的其他情形：</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16.1.2 发包人违约的责任</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发包人违约责任的承担方式和计算方法：</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（1）因发包人原因未能在计划开工日期前7天内下达开工通知的违约责任：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（2）因发包人原因未能按合同约定支付合同价款的违约责任：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olor w:val="auto"/>
          <w:sz w:val="24"/>
          <w:szCs w:val="24"/>
          <w:highlight w:val="none"/>
          <w:u w:val="single"/>
        </w:rPr>
        <w:t xml:space="preserve">发包人有权根据实际情况增减部分工程量，承包人对此不提出索赔</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（5）因发包人违反合同约定造成暂停施工的违约责任：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（7）其他：</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16.1.3 因发包人违约解除合同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承包人按16.1.1项〔发包人违约的情形〕约定暂停施工满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天后发包人仍不纠正其违约行为并致使合同目的不能实现的，承包人有权解除合同。</w:t>
      </w:r>
      <w:r/>
    </w:p>
    <w:p>
      <w:pPr>
        <w:ind w:firstLine="480"/>
        <w:pageBreakBefore w:val="0"/>
        <w:spacing w:line="360" w:lineRule="auto"/>
        <w:rPr>
          <w:rFonts w:hint="eastAsia" w:ascii="宋体" w:hAnsi="宋体" w:eastAsia="宋体"/>
          <w:color w:val="auto"/>
          <w:sz w:val="24"/>
          <w:szCs w:val="24"/>
          <w:highlight w:val="none"/>
        </w:rPr>
        <w:outlineLvl w:val="0"/>
      </w:pPr>
      <w:r/>
      <w:bookmarkStart w:id="724" w:name="_Toc14831"/>
      <w:r>
        <w:rPr>
          <w:rFonts w:hint="eastAsia" w:ascii="宋体" w:hAnsi="宋体" w:eastAsia="宋体"/>
          <w:color w:val="auto"/>
          <w:sz w:val="24"/>
          <w:szCs w:val="24"/>
          <w:highlight w:val="none"/>
        </w:rPr>
        <w:t xml:space="preserve">16.2 承包人违约</w:t>
      </w:r>
      <w:bookmarkEnd w:id="72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16.2.1 承包人违约的情形</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承包人违约的其他情形：</w:t>
      </w:r>
      <w:r>
        <w:rPr>
          <w:rFonts w:hint="eastAsia" w:ascii="宋体" w:hAnsi="宋体" w:eastAsia="宋体"/>
          <w:color w:val="auto"/>
          <w:sz w:val="24"/>
          <w:szCs w:val="24"/>
          <w:highlight w:val="none"/>
          <w:u w:val="single"/>
        </w:rPr>
        <w:t xml:space="preserve">按本合同16.2.2条及其它条款的约定。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16.2.2承包人违约的责任</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承包人违约责任的承担方式和计算方法：</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 承包人明确表示或者以其行为表明不</w:t>
      </w:r>
      <w:r>
        <w:rPr>
          <w:rFonts w:hint="eastAsia" w:ascii="宋体" w:hAnsi="宋体" w:eastAsia="宋体"/>
          <w:color w:val="auto"/>
          <w:sz w:val="24"/>
          <w:szCs w:val="24"/>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w:t>
      </w:r>
      <w:r>
        <w:rPr>
          <w:rFonts w:hint="eastAsia" w:ascii="宋体" w:hAnsi="宋体"/>
          <w:color w:val="auto"/>
          <w:sz w:val="24"/>
          <w:szCs w:val="24"/>
          <w:highlight w:val="none"/>
          <w:u w:val="single"/>
          <w:lang w:eastAsia="zh-CN"/>
        </w:rPr>
        <w:t xml:space="preserve">1万-3万</w:t>
      </w:r>
      <w:r>
        <w:rPr>
          <w:rFonts w:hint="eastAsia" w:ascii="宋体" w:hAnsi="宋体" w:eastAsia="宋体"/>
          <w:color w:val="auto"/>
          <w:sz w:val="24"/>
          <w:szCs w:val="24"/>
          <w:highlight w:val="none"/>
          <w:u w:val="single"/>
        </w:rPr>
        <w:t xml:space="preserve">元的违约金，每发生一起重大质量事故，承包人除接受政府相关部门的处罚外，还应向发包人承担10万元的违约金。同时，承包人应无条件返工至合格并采取措施清除不良影响。</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7.承包人未能按施工进度计划及时完成合同约定的工作，造成工期延误的违约责任：按7.5条约定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9.承包人未能按照合同约定履行其他义务的违约责任：</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③承包人要做到减少噪音及环境污染，文明施工达标，如因承包人原因导致工地在市、区检查中被评为不合格工地的，按每有一起罚款4000元。</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16.2.3 因承包人违约解除合同</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关于承包人违约解除合同的特别约定：</w:t>
      </w:r>
      <w:r>
        <w:rPr>
          <w:rFonts w:hint="eastAsia" w:ascii="宋体" w:hAnsi="宋体" w:eastAsia="宋体"/>
          <w:color w:val="auto"/>
          <w:sz w:val="24"/>
          <w:szCs w:val="24"/>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olor w:val="auto"/>
          <w:sz w:val="24"/>
          <w:szCs w:val="24"/>
          <w:highlight w:val="none"/>
          <w:u w:val="single"/>
        </w:rPr>
        <w:t xml:space="preserve">不计费用</w:t>
      </w:r>
      <w:r>
        <w:rPr>
          <w:rFonts w:hint="eastAsia" w:ascii="宋体" w:hAnsi="宋体" w:eastAsia="宋体"/>
          <w:color w:val="auto"/>
          <w:sz w:val="24"/>
          <w:szCs w:val="24"/>
          <w:highlight w:val="none"/>
        </w:rPr>
        <w:t xml:space="preserve">。</w:t>
      </w:r>
      <w:r/>
    </w:p>
    <w:p>
      <w:pPr>
        <w:pStyle w:val="1140"/>
        <w:ind w:firstLine="482"/>
        <w:pageBreakBefore w:val="0"/>
        <w:spacing w:before="120" w:after="120" w:line="360" w:lineRule="auto"/>
        <w:rPr>
          <w:rFonts w:hint="eastAsia" w:ascii="宋体" w:hAnsi="宋体"/>
          <w:color w:val="auto"/>
          <w:sz w:val="24"/>
          <w:szCs w:val="24"/>
          <w:highlight w:val="none"/>
        </w:rPr>
      </w:pPr>
      <w:r/>
      <w:bookmarkStart w:id="725" w:name="_Toc351203649"/>
      <w:r>
        <w:rPr>
          <w:rFonts w:hint="eastAsia" w:ascii="宋体" w:hAnsi="宋体"/>
          <w:color w:val="auto"/>
          <w:sz w:val="24"/>
          <w:szCs w:val="24"/>
          <w:highlight w:val="none"/>
        </w:rPr>
        <w:t xml:space="preserve">17. 不可抗力</w:t>
      </w:r>
      <w:bookmarkEnd w:id="725"/>
      <w:r>
        <w:rPr>
          <w:rFonts w:hint="eastAsia" w:ascii="宋体" w:hAnsi="宋体"/>
          <w:color w:val="auto"/>
          <w:sz w:val="24"/>
          <w:szCs w:val="24"/>
          <w:highlight w:val="none"/>
        </w:rPr>
        <w:t xml:space="preserve"> </w:t>
      </w:r>
      <w:bookmarkEnd w:id="721"/>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17.1 不可抗力的确认</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除通用合同条款约定的不可抗力事件之外，视为不可抗力的其他情形：</w:t>
      </w:r>
      <w:r>
        <w:rPr>
          <w:rFonts w:hint="eastAsia" w:ascii="宋体" w:hAnsi="宋体" w:eastAsia="宋体"/>
          <w:color w:val="auto"/>
          <w:sz w:val="24"/>
          <w:szCs w:val="24"/>
          <w:highlight w:val="none"/>
          <w:u w:val="single"/>
        </w:rPr>
        <w:t xml:space="preserve">由市级以上有关部门正式发布和认定的自然灾害。</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726" w:name="_Toc25261"/>
      <w:r>
        <w:rPr>
          <w:rFonts w:hint="eastAsia" w:ascii="宋体" w:hAnsi="宋体" w:eastAsia="宋体"/>
          <w:color w:val="auto"/>
          <w:sz w:val="24"/>
          <w:szCs w:val="24"/>
          <w:highlight w:val="none"/>
        </w:rPr>
        <w:t xml:space="preserve">17.</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因不可抗力解除合同</w:t>
      </w:r>
      <w:bookmarkEnd w:id="72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合同解除后，发包人应在商定或确定发包人应支付款项后</w:t>
      </w:r>
      <w:r>
        <w:rPr>
          <w:rFonts w:hint="eastAsia" w:ascii="宋体" w:hAnsi="宋体" w:eastAsia="宋体"/>
          <w:color w:val="auto"/>
          <w:sz w:val="24"/>
          <w:szCs w:val="24"/>
          <w:highlight w:val="none"/>
          <w:u w:val="single"/>
        </w:rPr>
        <w:t xml:space="preserve">60</w:t>
      </w:r>
      <w:r>
        <w:rPr>
          <w:rFonts w:hint="eastAsia" w:ascii="宋体" w:hAnsi="宋体" w:eastAsia="宋体"/>
          <w:color w:val="auto"/>
          <w:sz w:val="24"/>
          <w:szCs w:val="24"/>
          <w:highlight w:val="none"/>
        </w:rPr>
        <w:t xml:space="preserve">天内完成款项的支付。</w:t>
      </w:r>
      <w:r/>
    </w:p>
    <w:p>
      <w:pPr>
        <w:pStyle w:val="1140"/>
        <w:ind w:firstLine="482"/>
        <w:pageBreakBefore w:val="0"/>
        <w:spacing w:before="120" w:after="120" w:line="360" w:lineRule="auto"/>
        <w:rPr>
          <w:rFonts w:hint="eastAsia" w:ascii="宋体" w:hAnsi="宋体"/>
          <w:color w:val="auto"/>
          <w:sz w:val="24"/>
          <w:szCs w:val="24"/>
          <w:highlight w:val="none"/>
        </w:rPr>
      </w:pPr>
      <w:r/>
      <w:bookmarkStart w:id="727" w:name="_Toc351203650"/>
      <w:r>
        <w:rPr>
          <w:rFonts w:hint="eastAsia" w:ascii="宋体" w:hAnsi="宋体"/>
          <w:color w:val="auto"/>
          <w:sz w:val="24"/>
          <w:szCs w:val="24"/>
          <w:highlight w:val="none"/>
        </w:rPr>
        <w:t xml:space="preserve">18. 保险</w:t>
      </w:r>
      <w:bookmarkEnd w:id="727"/>
      <w:r/>
      <w:bookmarkEnd w:id="722"/>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18.1 工程保险</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关于工程保险的特别约定：</w:t>
      </w:r>
      <w:r>
        <w:rPr>
          <w:rFonts w:hint="eastAsia" w:ascii="宋体" w:hAnsi="宋体" w:eastAsia="宋体"/>
          <w:color w:val="auto"/>
          <w:sz w:val="24"/>
          <w:szCs w:val="24"/>
          <w:highlight w:val="none"/>
          <w:u w:val="single"/>
        </w:rPr>
        <w:t xml:space="preserve">发包人投保内容：建设工程和施工场地内的自有人员生命财产险。</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发包人委托承包人办理的保险事项：         /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p>
    <w:p>
      <w:pPr>
        <w:ind w:firstLine="480"/>
        <w:pageBreakBefore w:val="0"/>
        <w:spacing w:line="360" w:lineRule="auto"/>
        <w:rPr>
          <w:rFonts w:hint="eastAsia" w:ascii="宋体" w:hAnsi="宋体" w:eastAsia="宋体"/>
          <w:color w:val="auto"/>
          <w:sz w:val="24"/>
          <w:szCs w:val="24"/>
          <w:highlight w:val="none"/>
        </w:rPr>
        <w:outlineLvl w:val="0"/>
      </w:pPr>
      <w:r/>
      <w:bookmarkStart w:id="728" w:name="_Toc29633"/>
      <w:r>
        <w:rPr>
          <w:rFonts w:hint="eastAsia" w:ascii="宋体" w:hAnsi="宋体" w:eastAsia="宋体"/>
          <w:color w:val="auto"/>
          <w:sz w:val="24"/>
          <w:szCs w:val="24"/>
          <w:highlight w:val="none"/>
        </w:rPr>
        <w:t xml:space="preserve">18.</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其他保险</w:t>
      </w:r>
      <w:bookmarkEnd w:id="72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关于其他保险的约定：</w:t>
      </w:r>
      <w:r>
        <w:rPr>
          <w:rFonts w:hint="eastAsia" w:ascii="宋体" w:hAnsi="宋体" w:eastAsia="宋体"/>
          <w:color w:val="auto"/>
          <w:sz w:val="24"/>
          <w:szCs w:val="24"/>
          <w:highlight w:val="none"/>
          <w:u w:val="single"/>
        </w:rPr>
        <w:t xml:space="preserve">各自办理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u w:val="single"/>
        </w:rPr>
        <w:outlineLvl w:val="0"/>
      </w:pPr>
      <w:r/>
      <w:bookmarkStart w:id="729" w:name="_Toc4108"/>
      <w:r>
        <w:rPr>
          <w:rFonts w:hint="eastAsia" w:ascii="宋体" w:hAnsi="宋体" w:eastAsia="宋体"/>
          <w:color w:val="auto"/>
          <w:sz w:val="24"/>
          <w:szCs w:val="24"/>
          <w:highlight w:val="none"/>
        </w:rPr>
        <w:t xml:space="preserve">承包人是否应为其施工设备等办理财产保险：</w:t>
      </w:r>
      <w:r>
        <w:rPr>
          <w:rFonts w:hint="eastAsia" w:ascii="宋体" w:hAnsi="宋体" w:eastAsia="宋体"/>
          <w:color w:val="auto"/>
          <w:sz w:val="24"/>
          <w:szCs w:val="24"/>
          <w:highlight w:val="none"/>
          <w:u w:val="single"/>
        </w:rPr>
        <w:t xml:space="preserve">按通用条款执行。</w:t>
      </w:r>
      <w:bookmarkEnd w:id="729"/>
      <w:r/>
      <w:r/>
    </w:p>
    <w:p>
      <w:pPr>
        <w:ind w:firstLine="480"/>
        <w:pageBreakBefore w:val="0"/>
        <w:spacing w:line="360" w:lineRule="auto"/>
        <w:rPr>
          <w:rFonts w:hint="eastAsia" w:ascii="宋体" w:hAnsi="宋体" w:eastAsia="宋体"/>
          <w:color w:val="auto"/>
          <w:sz w:val="24"/>
          <w:szCs w:val="24"/>
          <w:highlight w:val="none"/>
        </w:rPr>
        <w:outlineLvl w:val="0"/>
      </w:pPr>
      <w:r/>
      <w:bookmarkStart w:id="730" w:name="_Toc14405"/>
      <w:r>
        <w:rPr>
          <w:rFonts w:hint="eastAsia" w:ascii="宋体" w:hAnsi="宋体" w:eastAsia="宋体"/>
          <w:color w:val="auto"/>
          <w:sz w:val="24"/>
          <w:szCs w:val="24"/>
          <w:highlight w:val="none"/>
        </w:rPr>
        <w:t xml:space="preserve">18.</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通知义务</w:t>
      </w:r>
      <w:bookmarkEnd w:id="730"/>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关于变更保险合同时的通知义务的约定：</w:t>
      </w:r>
      <w:r>
        <w:rPr>
          <w:rFonts w:hint="eastAsia" w:ascii="宋体" w:hAnsi="宋体" w:eastAsia="宋体"/>
          <w:color w:val="auto"/>
          <w:sz w:val="24"/>
          <w:szCs w:val="24"/>
          <w:highlight w:val="none"/>
          <w:u w:val="single"/>
        </w:rPr>
        <w:t xml:space="preserve">按通用条款执行。</w:t>
      </w:r>
      <w:bookmarkEnd w:id="694"/>
      <w:bookmarkEnd w:id="695"/>
      <w:bookmarkEnd w:id="696"/>
      <w:bookmarkEnd w:id="697"/>
      <w:bookmarkEnd w:id="698"/>
      <w:bookmarkEnd w:id="699"/>
      <w:bookmarkEnd w:id="700"/>
      <w:bookmarkEnd w:id="701"/>
      <w:bookmarkEnd w:id="702"/>
      <w:bookmarkEnd w:id="703"/>
      <w:bookmarkEnd w:id="704"/>
      <w:bookmarkEnd w:id="705"/>
      <w:r/>
    </w:p>
    <w:p>
      <w:pPr>
        <w:pStyle w:val="1140"/>
        <w:ind w:firstLine="482"/>
        <w:pageBreakBefore w:val="0"/>
        <w:spacing w:line="360" w:lineRule="auto"/>
        <w:rPr>
          <w:rFonts w:hint="eastAsia" w:ascii="宋体" w:hAnsi="宋体"/>
          <w:color w:val="auto"/>
          <w:sz w:val="24"/>
          <w:szCs w:val="24"/>
          <w:highlight w:val="none"/>
        </w:rPr>
      </w:pPr>
      <w:r/>
      <w:bookmarkStart w:id="731" w:name="_Toc351203651"/>
      <w:r>
        <w:rPr>
          <w:rFonts w:hint="eastAsia" w:ascii="宋体" w:hAnsi="宋体"/>
          <w:color w:val="auto"/>
          <w:sz w:val="24"/>
          <w:szCs w:val="24"/>
          <w:highlight w:val="none"/>
          <w:lang w:val="en-US" w:eastAsia="zh-CN"/>
        </w:rPr>
        <w:t xml:space="preserve">19</w:t>
      </w:r>
      <w:r>
        <w:rPr>
          <w:rFonts w:hint="eastAsia" w:ascii="宋体" w:hAnsi="宋体"/>
          <w:color w:val="auto"/>
          <w:sz w:val="24"/>
          <w:szCs w:val="24"/>
          <w:highlight w:val="none"/>
        </w:rPr>
        <w:t xml:space="preserve">. 争议解决</w:t>
      </w:r>
      <w:bookmarkEnd w:id="731"/>
      <w:r/>
      <w:bookmarkEnd w:id="706"/>
      <w:bookmarkEnd w:id="707"/>
      <w:r/>
    </w:p>
    <w:p>
      <w:pPr>
        <w:ind w:firstLine="480"/>
        <w:pageBreakBefore w:val="0"/>
        <w:spacing w:line="360" w:lineRule="auto"/>
        <w:rPr>
          <w:rFonts w:hint="eastAsia" w:ascii="宋体" w:hAnsi="宋体" w:eastAsia="宋体"/>
          <w:color w:val="auto"/>
          <w:sz w:val="24"/>
          <w:szCs w:val="24"/>
          <w:highlight w:val="none"/>
        </w:rPr>
        <w:outlineLvl w:val="0"/>
      </w:pPr>
      <w:r/>
      <w:bookmarkStart w:id="732" w:name="_Toc17723"/>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争</w:t>
      </w:r>
      <w:bookmarkEnd w:id="708"/>
      <w:r>
        <w:rPr>
          <w:rFonts w:hint="eastAsia" w:ascii="宋体" w:hAnsi="宋体" w:eastAsia="宋体"/>
          <w:color w:val="auto"/>
          <w:sz w:val="24"/>
          <w:szCs w:val="24"/>
          <w:highlight w:val="none"/>
        </w:rPr>
        <w:t xml:space="preserve">议评审</w:t>
      </w:r>
      <w:bookmarkEnd w:id="732"/>
      <w:r/>
      <w:r/>
    </w:p>
    <w:p>
      <w:pPr>
        <w:ind w:left="149"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合同当事人是否同意将工程争议提交争议评审小组决定：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33" w:name="_Toc22184"/>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.1 争议评审小组的确定</w:t>
      </w:r>
      <w:bookmarkEnd w:id="733"/>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争议评审小组成员的确定：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选定争议评审员的期限：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争议评审小组成员的报酬承担方式：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其他事项的约定：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34" w:name="_Toc24037"/>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.2 争议评审小组的决定</w:t>
      </w:r>
      <w:bookmarkEnd w:id="73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合同当事人关于本项的约定：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735" w:name="_Toc10320"/>
      <w:r>
        <w:rPr>
          <w:rFonts w:hint="eastAsia" w:ascii="宋体" w:hAnsi="宋体" w:eastAsia="宋体"/>
          <w:color w:val="auto"/>
          <w:sz w:val="24"/>
          <w:szCs w:val="24"/>
          <w:highlight w:val="none"/>
          <w:lang w:val="en-US" w:eastAsia="zh-CN"/>
        </w:rPr>
        <w:t xml:space="preserve">19.2</w:t>
      </w:r>
      <w:r>
        <w:rPr>
          <w:rFonts w:hint="eastAsia" w:ascii="宋体" w:hAnsi="宋体" w:eastAsia="宋体"/>
          <w:color w:val="auto"/>
          <w:sz w:val="24"/>
          <w:szCs w:val="24"/>
          <w:highlight w:val="none"/>
        </w:rPr>
        <w:t xml:space="preserve">仲裁或诉讼</w:t>
      </w:r>
      <w:bookmarkEnd w:id="709"/>
      <w:r/>
      <w:bookmarkEnd w:id="735"/>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因合同及合同有关事项发生的争议，按下列第</w:t>
      </w:r>
      <w:r>
        <w:rPr>
          <w:rFonts w:hint="eastAsia" w:ascii="宋体" w:hAnsi="宋体" w:eastAsia="宋体"/>
          <w:color w:val="auto"/>
          <w:sz w:val="24"/>
          <w:szCs w:val="24"/>
          <w:highlight w:val="none"/>
          <w:u w:val="single"/>
        </w:rPr>
        <w:t xml:space="preserve"> 2 </w:t>
      </w:r>
      <w:r>
        <w:rPr>
          <w:rFonts w:hint="eastAsia" w:ascii="宋体" w:hAnsi="宋体" w:eastAsia="宋体"/>
          <w:color w:val="auto"/>
          <w:sz w:val="24"/>
          <w:szCs w:val="24"/>
          <w:highlight w:val="none"/>
        </w:rPr>
        <w:t xml:space="preserve">种方式解决：</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仲裁委员会申请仲裁；</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（2）向</w:t>
      </w:r>
      <w:r>
        <w:rPr>
          <w:rFonts w:hint="eastAsia" w:ascii="宋体" w:hAnsi="宋体" w:eastAsia="宋体"/>
          <w:color w:val="auto"/>
          <w:sz w:val="24"/>
          <w:szCs w:val="24"/>
          <w:highlight w:val="none"/>
          <w:u w:val="single"/>
        </w:rPr>
        <w:t xml:space="preserve">南通市通州区</w:t>
      </w:r>
      <w:r>
        <w:rPr>
          <w:rFonts w:hint="eastAsia" w:ascii="宋体" w:hAnsi="宋体" w:eastAsia="宋体"/>
          <w:color w:val="auto"/>
          <w:sz w:val="24"/>
          <w:szCs w:val="24"/>
          <w:highlight w:val="none"/>
        </w:rPr>
        <w:t xml:space="preserve">人民法院起诉。</w:t>
      </w:r>
      <w:bookmarkEnd w:id="710"/>
      <w:r/>
      <w:bookmarkEnd w:id="711"/>
      <w:r/>
      <w:bookmarkEnd w:id="712"/>
      <w:r/>
      <w:bookmarkEnd w:id="713"/>
      <w:r/>
      <w:bookmarkEnd w:id="714"/>
      <w:r/>
      <w:bookmarkEnd w:id="715"/>
      <w:r/>
      <w:r/>
    </w:p>
    <w:p>
      <w:pPr>
        <w:ind w:firstLine="480"/>
        <w:pageBreakBefore w:val="0"/>
        <w:spacing w:after="120" w:line="360" w:lineRule="auto"/>
        <w:rPr>
          <w:rFonts w:hint="eastAsia" w:ascii="宋体" w:hAnsi="宋体" w:eastAsia="宋体"/>
          <w:color w:val="auto"/>
          <w:sz w:val="24"/>
          <w:szCs w:val="24"/>
          <w:highlight w:val="none"/>
        </w:rPr>
        <w:sectPr>
          <w:footerReference w:type="default" r:id="rId16"/>
          <w:footerReference w:type="first" r:id="rId17"/>
          <w:footnotePr/>
          <w:endnotePr/>
          <w:type w:val="nextPage"/>
          <w:pgSz w:w="11906" w:h="16838" w:orient="portrait"/>
          <w:pgMar w:top="1418" w:right="1555" w:bottom="1418" w:left="1531" w:header="851" w:footer="992" w:gutter="0"/>
          <w:lnNumType w:countBy="0" w:start="1"/>
          <w:cols w:num="1" w:sep="0" w:space="1701" w:equalWidth="1"/>
          <w:docGrid w:linePitch="360"/>
          <w:titlePg/>
        </w:sectPr>
        <w:outlineLvl w:val="0"/>
      </w:pPr>
      <w:r>
        <w:rPr>
          <w:rFonts w:hint="eastAsia" w:ascii="宋体" w:hAnsi="宋体" w:eastAsia="宋体"/>
          <w:color w:val="auto"/>
          <w:sz w:val="24"/>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t xml:space="preserve">附</w:t>
      </w:r>
      <w:bookmarkStart w:id="736" w:name="_Toc296891266"/>
      <w:r/>
      <w:bookmarkStart w:id="737" w:name="_Toc296891054"/>
      <w:r/>
      <w:bookmarkStart w:id="738" w:name="_Toc296944565"/>
      <w:r/>
      <w:bookmarkStart w:id="739" w:name="_Toc296346727"/>
      <w:r/>
      <w:bookmarkStart w:id="740" w:name="_Toc267261693"/>
      <w:r/>
      <w:bookmarkStart w:id="741" w:name="_Toc296503226"/>
      <w:r/>
      <w:bookmarkStart w:id="742" w:name="_Toc296347225"/>
      <w:r>
        <w:rPr>
          <w:rFonts w:hint="eastAsia" w:ascii="宋体" w:hAnsi="宋体" w:eastAsia="宋体"/>
          <w:color w:val="auto"/>
          <w:sz w:val="21"/>
          <w:szCs w:val="24"/>
          <w:highlight w:val="none"/>
        </w:rPr>
        <w:t xml:space="preserve">件：</w:t>
      </w:r>
      <w:bookmarkEnd w:id="736"/>
      <w:r/>
      <w:bookmarkEnd w:id="737"/>
      <w:r/>
      <w:bookmarkEnd w:id="738"/>
      <w:r/>
      <w:bookmarkEnd w:id="739"/>
      <w:r/>
      <w:bookmarkEnd w:id="740"/>
      <w:r/>
      <w:bookmarkEnd w:id="741"/>
      <w:r/>
      <w:bookmarkEnd w:id="742"/>
      <w:r>
        <w:rPr>
          <w:rFonts w:hint="eastAsia" w:ascii="宋体" w:hAnsi="宋体" w:eastAsia="宋体"/>
          <w:color w:val="auto"/>
          <w:sz w:val="21"/>
          <w:szCs w:val="24"/>
          <w:highlight w:val="none"/>
        </w:rPr>
        <w:t xml:space="preserve">    </w:t>
      </w:r>
      <w:r/>
    </w:p>
    <w:p>
      <w:pPr>
        <w:jc w:val="center"/>
        <w:spacing w:before="120" w:after="120" w:line="400" w:lineRule="exac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工程质量保修书</w:t>
      </w:r>
      <w:r/>
    </w:p>
    <w:p>
      <w:pPr>
        <w:ind w:firstLine="480"/>
        <w:spacing w:line="40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发包人（全称）：</w:t>
      </w:r>
      <w:r>
        <w:rPr>
          <w:rFonts w:hint="eastAsia" w:ascii="宋体" w:hAnsi="宋体"/>
          <w:color w:val="auto"/>
          <w:sz w:val="24"/>
          <w:szCs w:val="24"/>
          <w:highlight w:val="none"/>
          <w:u w:val="single"/>
          <w:lang w:eastAsia="zh-CN"/>
        </w:rPr>
        <w:t xml:space="preserve">南通市通州区东社镇人民政府</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承包人（全称）：</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通州区2026年东社镇一事一议财政奖补项目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签订工程质量保修书。</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3" w:name="_Toc2372"/>
      <w:r>
        <w:rPr>
          <w:rFonts w:hint="eastAsia" w:ascii="宋体" w:hAnsi="宋体" w:eastAsia="宋体"/>
          <w:color w:val="auto"/>
          <w:sz w:val="24"/>
          <w:szCs w:val="24"/>
          <w:highlight w:val="none"/>
        </w:rPr>
        <w:t xml:space="preserve">一、工程质量保修范围和内容</w:t>
      </w:r>
      <w:bookmarkEnd w:id="743"/>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承包人在质量保修期内，按照有关法律规定和合同约定，承担工程质量保修责任。</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质量保修范围包括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本工程实施所有内容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，以及双方约定的其他项目。具体保修的内容，双方约定如下：</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u w:val="single"/>
        </w:rPr>
        <w:t xml:space="preserve">  详见工程量清单及本工程竣工后实际完成的所有工作内容    </w:t>
      </w:r>
      <w:r>
        <w:rPr>
          <w:rFonts w:hint="eastAsia" w:ascii="宋体" w:hAnsi="宋体" w:eastAsia="宋体"/>
          <w:color w:val="auto"/>
          <w:sz w:val="24"/>
          <w:szCs w:val="24"/>
          <w:highlight w:val="none"/>
        </w:rPr>
        <w:t xml:space="preserve">。</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b/>
          <w:color w:val="auto"/>
          <w:sz w:val="24"/>
          <w:szCs w:val="24"/>
          <w:highlight w:val="none"/>
        </w:rPr>
        <w:t xml:space="preserve">　　</w:t>
      </w:r>
      <w:bookmarkStart w:id="744" w:name="_Toc29208"/>
      <w:r>
        <w:rPr>
          <w:rFonts w:hint="eastAsia" w:ascii="宋体" w:hAnsi="宋体" w:eastAsia="宋体"/>
          <w:color w:val="auto"/>
          <w:sz w:val="24"/>
          <w:szCs w:val="24"/>
          <w:highlight w:val="none"/>
        </w:rPr>
        <w:t xml:space="preserve">二、质量保修期</w:t>
      </w:r>
      <w:bookmarkEnd w:id="744"/>
      <w:r/>
      <w:r/>
    </w:p>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根据《建设工程质量管理条例》及有关规定，工程的质量保修期如下：</w:t>
      </w:r>
      <w:r/>
    </w:p>
    <w:p>
      <w:pPr>
        <w:ind w:firstLine="24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Times New Roman" w:hAnsi="宋体" w:eastAsia="宋体"/>
          <w:b/>
          <w:color w:val="auto"/>
          <w:sz w:val="24"/>
          <w:szCs w:val="24"/>
          <w:highlight w:val="none"/>
          <w:u w:val="single"/>
        </w:rPr>
        <w:t xml:space="preserve">本工程其他项目</w:t>
      </w:r>
      <w:r>
        <w:rPr>
          <w:rFonts w:hint="eastAsia" w:ascii="Times New Roman" w:hAnsi="宋体" w:eastAsia="宋体"/>
          <w:b/>
          <w:color w:val="auto"/>
          <w:sz w:val="24"/>
          <w:szCs w:val="24"/>
          <w:highlight w:val="none"/>
          <w:u w:val="single"/>
          <w:lang w:val="en-US" w:eastAsia="zh-CN"/>
        </w:rPr>
        <w:t xml:space="preserve">质量</w:t>
      </w:r>
      <w:r>
        <w:rPr>
          <w:rFonts w:hint="eastAsia" w:ascii="Times New Roman" w:hAnsi="宋体" w:eastAsia="宋体"/>
          <w:b/>
          <w:color w:val="auto"/>
          <w:sz w:val="24"/>
          <w:szCs w:val="24"/>
          <w:highlight w:val="none"/>
          <w:u w:val="single"/>
        </w:rPr>
        <w:t xml:space="preserve">保修期</w:t>
      </w:r>
      <w:r>
        <w:rPr>
          <w:rFonts w:hint="eastAsia" w:hAnsi="宋体"/>
          <w:b/>
          <w:color w:val="auto"/>
          <w:sz w:val="24"/>
          <w:szCs w:val="24"/>
          <w:highlight w:val="none"/>
          <w:u w:val="single"/>
          <w:lang w:val="en-US" w:eastAsia="zh-CN"/>
        </w:rPr>
        <w:t xml:space="preserve">两</w:t>
      </w:r>
      <w:r>
        <w:rPr>
          <w:rFonts w:hint="eastAsia" w:ascii="Times New Roman" w:hAnsi="宋体" w:eastAsia="宋体"/>
          <w:b/>
          <w:color w:val="auto"/>
          <w:sz w:val="24"/>
          <w:szCs w:val="24"/>
          <w:highlight w:val="none"/>
          <w:u w:val="single"/>
        </w:rPr>
        <w:t xml:space="preserve">年</w:t>
      </w:r>
      <w:r>
        <w:rPr>
          <w:rFonts w:hint="eastAsia" w:ascii="宋体" w:hAnsi="宋体" w:eastAsia="宋体"/>
          <w:color w:val="auto"/>
          <w:sz w:val="24"/>
          <w:szCs w:val="24"/>
          <w:highlight w:val="none"/>
        </w:rPr>
        <w:t xml:space="preserve">。</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质量保修期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绿化养护期</w:t>
      </w:r>
      <w:r>
        <w:rPr>
          <w:rFonts w:hint="eastAsia" w:ascii="宋体" w:hAnsi="宋体" w:eastAsia="宋体"/>
          <w:color w:val="auto"/>
          <w:sz w:val="24"/>
          <w:szCs w:val="24"/>
          <w:highlight w:val="none"/>
        </w:rPr>
        <w:t xml:space="preserve">自工程竣工验收合格之日起计算。</w:t>
      </w:r>
      <w:r/>
    </w:p>
    <w:p>
      <w:pPr>
        <w:ind w:firstLine="480"/>
        <w:spacing w:line="400" w:lineRule="exact"/>
        <w:rPr>
          <w:rFonts w:hint="eastAsia" w:ascii="宋体" w:hAnsi="宋体" w:eastAsia="宋体"/>
          <w:color w:val="auto"/>
          <w:sz w:val="24"/>
          <w:szCs w:val="24"/>
          <w:highlight w:val="none"/>
        </w:rPr>
        <w:outlineLvl w:val="0"/>
      </w:pPr>
      <w:r/>
      <w:bookmarkStart w:id="745" w:name="_Toc18658"/>
      <w:r>
        <w:rPr>
          <w:rFonts w:hint="eastAsia" w:ascii="宋体" w:hAnsi="宋体" w:eastAsia="宋体"/>
          <w:color w:val="auto"/>
          <w:sz w:val="24"/>
          <w:szCs w:val="24"/>
          <w:highlight w:val="none"/>
        </w:rPr>
        <w:t xml:space="preserve">三、缺陷责任期</w:t>
      </w:r>
      <w:bookmarkEnd w:id="745"/>
      <w:r/>
      <w:r/>
    </w:p>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工程缺陷责任期为</w:t>
      </w:r>
      <w:r>
        <w:rPr>
          <w:rFonts w:hint="eastAsia" w:ascii="宋体" w:hAnsi="宋体" w:eastAsia="宋体"/>
          <w:color w:val="auto"/>
          <w:sz w:val="24"/>
          <w:szCs w:val="24"/>
          <w:highlight w:val="none"/>
          <w:u w:val="single"/>
          <w:lang w:val="en-US" w:eastAsia="zh-CN"/>
        </w:rPr>
        <w:t xml:space="preserve">24</w:t>
      </w:r>
      <w:r>
        <w:rPr>
          <w:rFonts w:hint="eastAsia" w:ascii="宋体" w:hAnsi="宋体" w:eastAsia="宋体"/>
          <w:color w:val="auto"/>
          <w:sz w:val="24"/>
          <w:szCs w:val="24"/>
          <w:highlight w:val="none"/>
        </w:rPr>
        <w:t xml:space="preserve">个月，缺陷责任期自工程通过竣工验收之日起计算。</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6" w:name="_Toc5031"/>
      <w:r>
        <w:rPr>
          <w:rFonts w:hint="eastAsia" w:ascii="宋体" w:hAnsi="宋体" w:eastAsia="宋体"/>
          <w:color w:val="auto"/>
          <w:sz w:val="24"/>
          <w:szCs w:val="24"/>
          <w:highlight w:val="none"/>
        </w:rPr>
        <w:t xml:space="preserve">四、质量保修责任</w:t>
      </w:r>
      <w:bookmarkEnd w:id="746"/>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2．发生紧急事故需抢修的，承包人在接到事故通知后，应当立即到达事故现场抢修。</w:t>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4．质量保修完成后，由发包人组织验收。</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7" w:name="_Toc32029"/>
      <w:r>
        <w:rPr>
          <w:rFonts w:hint="eastAsia" w:ascii="宋体" w:hAnsi="宋体" w:eastAsia="宋体"/>
          <w:color w:val="auto"/>
          <w:sz w:val="24"/>
          <w:szCs w:val="24"/>
          <w:highlight w:val="none"/>
        </w:rPr>
        <w:t xml:space="preserve">五、保修费用</w:t>
      </w:r>
      <w:bookmarkEnd w:id="747"/>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保修费用由造成质量缺陷的责任方承担。</w:t>
      </w:r>
      <w:r/>
    </w:p>
    <w:p>
      <w:pPr>
        <w:ind w:firstLine="600"/>
        <w:jc w:val="left"/>
        <w:spacing w:line="400" w:lineRule="exact"/>
        <w:rPr>
          <w:rFonts w:hint="eastAsia" w:ascii="宋体" w:hAnsi="宋体" w:eastAsia="宋体"/>
          <w:color w:val="auto"/>
          <w:sz w:val="24"/>
          <w:szCs w:val="24"/>
          <w:highlight w:val="none"/>
        </w:rPr>
        <w:outlineLvl w:val="0"/>
      </w:pPr>
      <w:r/>
      <w:bookmarkStart w:id="748" w:name="_Toc32222"/>
      <w:r>
        <w:rPr>
          <w:rFonts w:hint="eastAsia" w:ascii="宋体" w:hAnsi="宋体" w:eastAsia="宋体"/>
          <w:b/>
          <w:color w:val="auto"/>
          <w:sz w:val="24"/>
          <w:szCs w:val="24"/>
          <w:highlight w:val="none"/>
        </w:rPr>
        <w:t xml:space="preserve">六</w:t>
      </w:r>
      <w:r>
        <w:rPr>
          <w:rFonts w:hint="eastAsia" w:ascii="宋体" w:hAnsi="宋体" w:eastAsia="宋体"/>
          <w:color w:val="auto"/>
          <w:sz w:val="24"/>
          <w:szCs w:val="24"/>
          <w:highlight w:val="none"/>
        </w:rPr>
        <w:t xml:space="preserve">、双方约定的其他工程质量保修事项：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748"/>
      <w:r/>
      <w:r/>
    </w:p>
    <w:p>
      <w:pPr>
        <w:ind w:firstLine="456"/>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承包人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  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  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账  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r/>
    </w:p>
    <w:p>
      <w:pPr>
        <w:spacing w:line="400" w:lineRule="exact"/>
        <w:rPr>
          <w:b/>
          <w:color w:val="auto"/>
          <w:sz w:val="24"/>
          <w:szCs w:val="24"/>
          <w:highlight w:val="none"/>
        </w:rPr>
      </w:pPr>
      <w:r>
        <w:rPr>
          <w:b/>
          <w:color w:val="auto"/>
          <w:sz w:val="24"/>
          <w:szCs w:val="24"/>
          <w:highlight w:val="none"/>
        </w:rPr>
      </w:r>
      <w:r/>
    </w:p>
    <w:p>
      <w:pPr>
        <w:jc w:val="center"/>
        <w:spacing w:before="120" w:after="120" w:line="400" w:lineRule="exact"/>
        <w:rPr>
          <w:rFonts w:hint="eastAsia" w:ascii="宋体" w:hAnsi="宋体" w:eastAsia="宋体"/>
          <w:color w:val="auto"/>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olor w:val="auto"/>
          <w:sz w:val="24"/>
          <w:szCs w:val="24"/>
          <w:highlight w:val="none"/>
        </w:rPr>
      </w:r>
      <w:r/>
    </w:p>
    <w:p>
      <w:pPr>
        <w:jc w:val="left"/>
        <w:spacing w:before="120" w:after="120"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                             </w:t>
      </w:r>
      <w:r/>
    </w:p>
    <w:p>
      <w:pPr>
        <w:jc w:val="center"/>
        <w:spacing w:before="120" w:after="120"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廉政协议</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协议单位：发包人（简称甲方）：</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南通市通州区东社镇人民政府</w:t>
      </w:r>
      <w:r>
        <w:rPr>
          <w:rFonts w:hint="eastAsia" w:ascii="宋体" w:hAnsi="宋体" w:eastAsia="宋体"/>
          <w:color w:val="auto"/>
          <w:sz w:val="24"/>
          <w:szCs w:val="24"/>
          <w:highlight w:val="none"/>
          <w:u w:val="single"/>
        </w:rPr>
        <w:t xml:space="preserve"> </w:t>
      </w:r>
      <w:r/>
    </w:p>
    <w:p>
      <w:pPr>
        <w:ind w:firstLine="120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承包人（简称乙方）：</w:t>
      </w:r>
      <w:r>
        <w:rPr>
          <w:rFonts w:hint="eastAsia" w:ascii="宋体" w:hAnsi="宋体" w:eastAsia="宋体"/>
          <w:color w:val="auto"/>
          <w:sz w:val="24"/>
          <w:szCs w:val="24"/>
          <w:highlight w:val="none"/>
          <w:u w:val="single"/>
        </w:rPr>
        <w:t xml:space="preserve">                            </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为加强工程建设中的廉政建设，规范工程建设项目承、发包双方的各项活动，共同维护建设市场的秩序，确保工程质量。经甲乙双方协商，现就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通州区2026年东社镇一事一议财政奖补项目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自愿签订廉政协议：</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一、遵守《通州区建设工程廉政管理暂行办法》的规定，乙方同意在签订工程承包合同时，一次性向甲方交纳廉政保证金为合同价的1%。如发生不正当行为，则自愿放弃所交廉政保证金的所有权。</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二、乙方不得以任何形式向甲方管理人员赠送各种贵重物品、礼金礼券和回扣、好处费等。如有违反，将移送有关单位，视情节轻重，给予党纪、政纪处分，构成犯罪的追究刑事责任。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三、乙方在工程建设中贿赂甲方管理人员，经检举被核实查证的，甲方有权中止工程承包合同，乙方承担甲方造成的经济损失。</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四、甲方管理人员向乙方索贿，经检举被核实查证的，给予检举人奖励，奖金由甲方承担。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五、乙方在承建工程中，若违反廉政协议，甲方可拒绝乙方以后参加的由甲方实施的政府项目的建设，直至取消乙方的政府投资项目投标资格。</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六、此协议与建设工程承包合同同时签订，一式捌份，甲乙双方各执肆份。</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七、此协议自双方签字盖章之日起生效。</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甲方单位：（公章）             乙方单位：（公章）</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法定代表人：</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委托代理人：</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地址：</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电话：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电话：</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年    月    日                  年    月    日</w:t>
      </w:r>
      <w:r/>
    </w:p>
    <w:p>
      <w:pPr>
        <w:ind w:firstLine="480"/>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p>
      <w:pPr>
        <w:jc w:val="center"/>
        <w:spacing w:line="360" w:lineRule="auto"/>
        <w:rPr>
          <w:rFonts w:hint="eastAsia" w:ascii="宋体" w:hAnsi="宋体" w:eastAsia="宋体" w:cs="宋体"/>
          <w:color w:val="auto"/>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安全生产合同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南通市通州区东社镇人民政府</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通州区2026年东社镇一事一议财政奖补项目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施工合同的实施过程中创造安全、整洁的施工环境，切实搞好本项目的安全管理工作，本项目发包人与承包人特此签订安全生产合同：</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一、发包人职责 </w:t>
      </w:r>
      <w:r/>
    </w:p>
    <w:p>
      <w:pPr>
        <w:numPr>
          <w:ilvl w:val="0"/>
          <w:numId w:val="8"/>
        </w:num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严格遵守国家有关安全生产的法律法规、认真执行工程承包合同中的有关安全要求。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2．按照“安全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预防为主”和坚持“管生产必须管安全”的原则进行安全生产管理，做到生产与安全工作同时计划、布置、检查、总结和评比。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3.重要的安全设施必须坚持与主体工程“三同时”的原则，即：同时设计、审批，同时施工，同时验收，投入使用。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4.定期召开安全生产调度会，及时传达中央</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地方有关安全生产的精神。</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5.组织对承包人施工现场安全生产检查，监督</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及时处理发现的各项隐患。</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二、承包人职责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1．严格遵守国家有关安全生产的法律法规和有关安全生产的规定，认真执行工程承包合同中的有关安全要求。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4．承包人在任何时候都应采取各种合理的预防措施，防止其员工发生任何违法、违禁、暴力或妨碍治安的行为。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w:t>
      </w:r>
      <w:r>
        <w:rPr>
          <w:rFonts w:hint="eastAsia" w:ascii="宋体" w:hAnsi="宋体" w:eastAsia="宋体" w:cs="宋体"/>
          <w:color w:val="auto"/>
          <w:sz w:val="24"/>
          <w:szCs w:val="24"/>
          <w:highlight w:val="none"/>
          <w:lang w:val="en-US" w:eastAsia="zh-CN"/>
        </w:rPr>
        <w:t xml:space="preserve">登</w:t>
      </w:r>
      <w:r>
        <w:rPr>
          <w:rFonts w:hint="eastAsia" w:ascii="宋体" w:hAnsi="宋体" w:eastAsia="宋体" w:cs="宋体"/>
          <w:color w:val="auto"/>
          <w:sz w:val="24"/>
          <w:szCs w:val="24"/>
          <w:highlight w:val="none"/>
        </w:rPr>
        <w:t xml:space="preserve">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firstLine="420"/>
        <w:spacing w:line="360" w:lineRule="auto"/>
        <w:rPr>
          <w:rFonts w:ascii="Calibri" w:hAnsi="Calibri" w:eastAsia="宋体"/>
          <w:color w:val="auto"/>
          <w:sz w:val="24"/>
          <w:szCs w:val="24"/>
          <w:highlight w:val="none"/>
        </w:rPr>
      </w:pPr>
      <w:r>
        <w:rPr>
          <w:rFonts w:hint="eastAsia" w:ascii="宋体" w:hAnsi="宋体" w:eastAsia="宋体" w:cs="宋体"/>
          <w:color w:val="auto"/>
          <w:sz w:val="24"/>
          <w:szCs w:val="24"/>
          <w:highlight w:val="none"/>
        </w:rPr>
        <w:t xml:space="preserve">9．施工中采用新技术、新工艺、新设备、新材料时，必须制定相应的安全技术措施，施工现场必须具有相关的安全标志牌。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numPr>
          <w:ilvl w:val="0"/>
          <w:numId w:val="9"/>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如因发包人或承包人违约造成安全事故，将依法追究责任。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本合同正本一式二份，副本八份，合同双方各执正本一份，副本四份。由双方法定代表人或其授权的代理人签署与加盖公章后生效，全部工程竣工验收后失效。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承 包 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委托代表人：</w:t>
      </w:r>
      <w:r/>
    </w:p>
    <w:p>
      <w:pPr>
        <w:ind w:firstLine="1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rPr>
          <w:rFonts w:hint="eastAsia" w:ascii="宋体" w:hAnsi="宋体" w:eastAsia="宋体" w:cs="宋体"/>
          <w:b/>
          <w:color w:val="auto"/>
          <w:sz w:val="24"/>
          <w:szCs w:val="24"/>
          <w:highlight w:val="none"/>
          <w:lang w:eastAsia="zh-CN"/>
        </w:rPr>
        <w:sectPr>
          <w:footerReference w:type="default" r:id="rId18"/>
          <w:footerReference w:type="first" r:id="rId19"/>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auto"/>
          <w:sz w:val="24"/>
          <w:szCs w:val="24"/>
          <w:highlight w:val="none"/>
          <w:lang w:eastAsia="zh-CN"/>
        </w:rPr>
        <w:t xml:space="preserve">甲方</w:t>
      </w:r>
      <w:r>
        <w:rPr>
          <w:rFonts w:hint="eastAsia" w:ascii="宋体" w:hAnsi="宋体" w:eastAsia="宋体" w:cs="宋体"/>
          <w:b/>
          <w:color w:val="auto"/>
          <w:sz w:val="24"/>
          <w:szCs w:val="24"/>
          <w:highlight w:val="none"/>
        </w:rPr>
        <w:t xml:space="preserve">保留对本合同修改的权利</w:t>
      </w:r>
      <w:r>
        <w:rPr>
          <w:rFonts w:hint="eastAsia" w:ascii="宋体" w:hAnsi="宋体" w:eastAsia="宋体" w:cs="宋体"/>
          <w:b/>
          <w:color w:val="auto"/>
          <w:sz w:val="24"/>
          <w:szCs w:val="24"/>
          <w:highlight w:val="none"/>
          <w:lang w:eastAsia="zh-CN"/>
        </w:rPr>
        <w:t xml:space="preserve">。</w:t>
      </w:r>
      <w:r/>
    </w:p>
    <w:p>
      <w:pPr>
        <w:ind w:left="1423" w:right="0" w:firstLine="0"/>
        <w:jc w:val="both"/>
        <w:spacing w:before="216" w:after="0" w:line="49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35"/>
          <w:highlight w:val="none"/>
        </w:rPr>
        <w:t xml:space="preserve">政府采购履约验收通知单（参考样本）</w:t>
      </w:r>
      <w:r/>
    </w:p>
    <w:p>
      <w:pPr>
        <w:ind w:left="90" w:right="0" w:firstLine="0"/>
        <w:jc w:val="both"/>
        <w:spacing w:before="254"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9"/>
          <w:sz w:val="23"/>
          <w:highlight w:val="none"/>
        </w:rPr>
        <w:t xml:space="preserve">供应商：</w:t>
      </w:r>
      <w:r/>
    </w:p>
    <w:p>
      <w:pPr>
        <w:ind w:left="0" w:right="0" w:firstLine="0"/>
        <w:jc w:val="both"/>
        <w:spacing w:before="0" w:after="0" w:line="34"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tbl>
      <w:tblPr>
        <w:tblStyle w:val="1205"/>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ind w:left="956" w:right="0" w:firstLine="0"/>
              <w:jc w:val="both"/>
              <w:spacing w:before="231"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采购人</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5"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1"/>
                <w:sz w:val="23"/>
                <w:highlight w:val="none"/>
              </w:rPr>
              <w:t xml:space="preserve">项目名称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合同编号</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合同金额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38"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验收时间</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4"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验收地点</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962"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3"/>
                <w:highlight w:val="none"/>
              </w:rPr>
              <w:t xml:space="preserve">联系人</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联系电话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gridSpan w:val="4"/>
            <w:tcMar>
              <w:left w:w="0" w:type="dxa"/>
              <w:top w:w="0" w:type="dxa"/>
              <w:right w:w="0" w:type="dxa"/>
              <w:bottom w:w="0" w:type="dxa"/>
            </w:tcMar>
            <w:tcW w:w="8979" w:type="dxa"/>
            <w:vAlign w:val="top"/>
            <w:textDirection w:val="lrTb"/>
            <w:noWrap w:val="false"/>
          </w:tcPr>
          <w:p>
            <w:pPr>
              <w:ind w:left="3360" w:right="0" w:firstLine="0"/>
              <w:jc w:val="both"/>
              <w:spacing w:before="233"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7"/>
                <w:sz w:val="23"/>
                <w:highlight w:val="none"/>
              </w:rPr>
              <w:t xml:space="preserve">履约验收方案及工作要求</w:t>
            </w:r>
            <w:r/>
          </w:p>
        </w:tc>
      </w:tr>
      <w:tr>
        <w:trPr>
          <w:trHeight w:val="4656"/>
        </w:trPr>
        <w:tc>
          <w:tcPr>
            <w:gridSpan w:val="4"/>
            <w:tcMar>
              <w:left w:w="0" w:type="dxa"/>
              <w:top w:w="0" w:type="dxa"/>
              <w:right w:w="0" w:type="dxa"/>
              <w:bottom w:w="0" w:type="dxa"/>
            </w:tcMar>
            <w:tcW w:w="8979"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5124" w:right="2530" w:firstLine="183"/>
              <w:jc w:val="both"/>
              <w:spacing w:before="75" w:after="0" w:line="119" w:lineRule="atLeast"/>
              <w:rPr>
                <w:rFonts w:hint="eastAsia"/>
                <w:color w:val="auto"/>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rPr>
                <w:rFonts w:hint="eastAsia"/>
                <w:color w:val="auto"/>
                <w:highlight w:val="none"/>
                <w:lang w:val="en-US" w:eastAsia="zh-CN"/>
              </w:rPr>
              <w:t xml:space="preserve">单位公章</w:t>
            </w:r>
            <w:r/>
          </w:p>
          <w:p>
            <w:pPr>
              <w:pStyle w:val="988"/>
              <w:jc w:val="right"/>
              <w:rPr>
                <w:color w:val="auto"/>
                <w:highlight w:val="none"/>
                <w:lang w:val="en-US" w:eastAsia="zh-CN"/>
              </w:rPr>
            </w:pPr>
            <w:r>
              <w:rPr>
                <w:rFonts w:hint="eastAsia" w:ascii="Times New Roman" w:hAnsi="Times New Roman" w:eastAsia="宋体" w:cs="Times New Roman"/>
                <w:b w:val="0"/>
                <w:bCs w:val="0"/>
                <w:color w:val="auto"/>
                <w:sz w:val="21"/>
                <w:szCs w:val="22"/>
                <w:highlight w:val="none"/>
                <w:lang w:val="en-US" w:eastAsia="zh-CN" w:bidi="ar-SA"/>
              </w:rPr>
              <w:t xml:space="preserve">  年   月   日</w:t>
            </w:r>
            <w:r/>
          </w:p>
        </w:tc>
      </w:tr>
    </w:tbl>
    <w:p>
      <w:pPr>
        <w:rPr>
          <w:color w:val="auto"/>
          <w:highlight w:val="none"/>
        </w:rPr>
      </w:pPr>
      <w:r>
        <w:rPr>
          <w:color w:val="auto"/>
          <w:highlight w:val="none"/>
        </w:rPr>
      </w:r>
      <w:r/>
    </w:p>
    <w:p>
      <w:pPr>
        <w:pStyle w:val="954"/>
        <w:rPr>
          <w:rFonts w:hint="eastAsia"/>
          <w:color w:val="auto"/>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lang w:eastAsia="zh-CN"/>
        </w:rPr>
      </w:r>
      <w:r/>
    </w:p>
    <w:p>
      <w:pPr>
        <w:numPr>
          <w:ilvl w:val="0"/>
          <w:numId w:val="10"/>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lang w:val="en-US" w:eastAsia="zh-CN"/>
        </w:rPr>
        <w:t xml:space="preserve">采购</w:t>
      </w:r>
      <w:r>
        <w:rPr>
          <w:rFonts w:hint="eastAsia" w:ascii="宋体" w:hAnsi="宋体" w:eastAsia="宋体" w:cs="宋体"/>
          <w:bCs/>
          <w:color w:val="auto"/>
          <w:sz w:val="44"/>
          <w:szCs w:val="21"/>
          <w:highlight w:val="none"/>
        </w:rPr>
        <w:t xml:space="preserve">需求</w:t>
      </w:r>
      <w:bookmarkEnd w:id="160"/>
      <w:r/>
      <w:bookmarkEnd w:id="161"/>
      <w:r/>
      <w:bookmarkEnd w:id="162"/>
      <w:r/>
      <w:bookmarkStart w:id="749" w:name="_Toc26554093"/>
      <w:r/>
      <w:bookmarkStart w:id="750" w:name="_Toc49090575"/>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一、项目简介</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通州区2026年东社镇一事一议财政奖补项目</w:t>
      </w:r>
      <w:r/>
    </w:p>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项目地点：通州区东社镇</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合计273.93万元，包1：140.87万元；包2：133.06万元。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包</w:t>
      </w:r>
      <w:r>
        <w:rPr>
          <w:rFonts w:hint="eastAsia" w:ascii="宋体" w:hAnsi="宋体" w:eastAsia="宋体" w:cs="宋体"/>
          <w:color w:val="auto"/>
          <w:sz w:val="24"/>
          <w:szCs w:val="24"/>
          <w:highlight w:val="none"/>
          <w:lang w:val="en-US" w:eastAsia="zh-CN"/>
        </w:rPr>
        <w:t xml:space="preserve">1:129.6万元；包2：122.4万元。</w:t>
      </w:r>
      <w:r>
        <w:rPr>
          <w:rFonts w:hint="eastAsia" w:ascii="宋体" w:hAnsi="宋体" w:eastAsia="宋体" w:cs="宋体"/>
          <w:color w:val="auto"/>
          <w:sz w:val="24"/>
          <w:szCs w:val="24"/>
          <w:highlight w:val="none"/>
        </w:rPr>
        <w:t xml:space="preserve">最终报价超过</w:t>
      </w:r>
      <w:r>
        <w:rPr>
          <w:rFonts w:hint="eastAsia" w:ascii="宋体" w:hAnsi="宋体" w:eastAsia="宋体" w:cs="宋体"/>
          <w:color w:val="auto"/>
          <w:sz w:val="24"/>
          <w:szCs w:val="24"/>
          <w:highlight w:val="none"/>
          <w:lang w:eastAsia="zh-CN"/>
        </w:rPr>
        <w:t xml:space="preserve">各采购包</w:t>
      </w:r>
      <w:r>
        <w:rPr>
          <w:rFonts w:hint="eastAsia" w:ascii="宋体" w:hAnsi="宋体" w:eastAsia="宋体" w:cs="宋体"/>
          <w:color w:val="auto"/>
          <w:sz w:val="24"/>
          <w:szCs w:val="24"/>
          <w:highlight w:val="none"/>
        </w:rPr>
        <w:t xml:space="preserve">最高限价的为无效响应文件。</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东社镇2026年第一批一事一议财政奖补建设项目，涉及五马路、唐洪、横马、严北、杨港、河东、中和共计</w:t>
      </w:r>
      <w:r>
        <w:rPr>
          <w:rFonts w:hint="eastAsia" w:ascii="宋体" w:hAnsi="宋体" w:cs="宋体"/>
          <w:color w:val="auto"/>
          <w:sz w:val="24"/>
          <w:szCs w:val="24"/>
          <w:highlight w:val="none"/>
          <w:lang w:val="en-US" w:eastAsia="zh-CN"/>
        </w:rPr>
        <w:t xml:space="preserve">7个村，</w:t>
      </w:r>
      <w:r>
        <w:rPr>
          <w:rFonts w:hint="eastAsia" w:ascii="宋体" w:hAnsi="宋体" w:eastAsia="宋体" w:cs="宋体"/>
          <w:color w:val="auto"/>
          <w:sz w:val="24"/>
          <w:szCs w:val="24"/>
          <w:highlight w:val="none"/>
          <w:lang w:val="en-US" w:eastAsia="zh-CN"/>
        </w:rPr>
        <w:t xml:space="preserve">23条道路，</w:t>
      </w:r>
      <w:r>
        <w:rPr>
          <w:rFonts w:hint="eastAsia" w:ascii="宋体" w:hAnsi="宋体" w:cs="宋体"/>
          <w:color w:val="auto"/>
          <w:sz w:val="24"/>
          <w:szCs w:val="24"/>
          <w:highlight w:val="none"/>
          <w:lang w:val="en-US" w:eastAsia="zh-CN"/>
        </w:rPr>
        <w:t xml:space="preserve">长度约</w:t>
      </w:r>
      <w:r>
        <w:rPr>
          <w:rFonts w:hint="eastAsia" w:ascii="宋体" w:hAnsi="宋体" w:eastAsia="宋体" w:cs="宋体"/>
          <w:color w:val="auto"/>
          <w:sz w:val="24"/>
          <w:szCs w:val="24"/>
          <w:highlight w:val="none"/>
          <w:lang w:val="en-US" w:eastAsia="zh-CN"/>
        </w:rPr>
        <w:t xml:space="preserve">5.198公里。分两个包实施，包1包含五马路村、严北村、</w:t>
      </w:r>
      <w:r>
        <w:rPr>
          <w:rFonts w:hint="eastAsia" w:ascii="宋体" w:hAnsi="宋体" w:cs="宋体"/>
          <w:color w:val="auto"/>
          <w:sz w:val="24"/>
          <w:szCs w:val="24"/>
          <w:highlight w:val="none"/>
          <w:lang w:val="en-US" w:eastAsia="zh-CN"/>
        </w:rPr>
        <w:t xml:space="preserve">杨港社区</w:t>
      </w:r>
      <w:r>
        <w:rPr>
          <w:rFonts w:hint="eastAsia" w:ascii="宋体" w:hAnsi="宋体" w:eastAsia="宋体" w:cs="宋体"/>
          <w:color w:val="auto"/>
          <w:sz w:val="24"/>
          <w:szCs w:val="24"/>
          <w:highlight w:val="none"/>
          <w:lang w:val="en-US" w:eastAsia="zh-CN"/>
        </w:rPr>
        <w:t xml:space="preserve">，包2包含横马村、唐洪村、河东村、中和村，</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日历天。</w:t>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质量要求</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val="zh-CN" w:eastAsia="zh-CN"/>
        </w:rPr>
        <w:t xml:space="preserve">、工程量清单</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51" w:name="_Toc473034406"/>
      <w:r/>
      <w:bookmarkStart w:id="752" w:name="_Toc498006749"/>
      <w:r>
        <w:rPr>
          <w:rFonts w:hint="eastAsia" w:ascii="宋体" w:hAnsi="宋体" w:eastAsia="宋体" w:cs="宋体"/>
          <w:b/>
          <w:color w:val="auto"/>
          <w:sz w:val="24"/>
          <w:szCs w:val="24"/>
          <w:highlight w:val="none"/>
        </w:rPr>
        <w:t xml:space="preserve">1．工程量清单编制说明</w:t>
      </w:r>
      <w:bookmarkEnd w:id="751"/>
      <w:r/>
      <w:bookmarkEnd w:id="752"/>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1.1本工程量清单应与招标文件中的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须知、通用合同条款、专用合同条款、技术标准和要求及图纸等章节内容一起阅读和理解。</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1.2本工程量清单仅是投标报价的共同基础，竣工结算的工程量按合同约定确定。合同价格的确定以及价款支付应遵循合同条款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包括通用合同条款和专用合同条款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、技术标准和要求以及本章的有关约定。</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1.3本条第1.1款中约定的计量和计价规则适用于合同履约过程中工程量计量与价款支付、工程变更、索赔和工程结算。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1.4本条与本章第2条和第3条的说明内容是构成合同文件的已标价工程量清单的组成部分。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53" w:name="_Toc473034407"/>
      <w:r/>
      <w:bookmarkStart w:id="754" w:name="_Toc498006750"/>
      <w:r>
        <w:rPr>
          <w:rFonts w:hint="eastAsia" w:ascii="宋体" w:hAnsi="宋体" w:eastAsia="宋体" w:cs="宋体"/>
          <w:b/>
          <w:color w:val="auto"/>
          <w:sz w:val="24"/>
          <w:szCs w:val="24"/>
          <w:highlight w:val="none"/>
        </w:rPr>
        <w:t xml:space="preserve">2．投标报价编制要求</w:t>
      </w:r>
      <w:bookmarkEnd w:id="753"/>
      <w:r/>
      <w:bookmarkEnd w:id="754"/>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2.1投标报价应根据招标文件中的有关计价要求，并按照下列依据自主报价，但不得低于成本。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本招标文件；</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相关计算规范；</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国家或省级、行业建设主管部门颁发的计价办法；</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企业定额，国家或省级、行业建设主管部门颁发的计价定额；</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招标文件、招标工程量清单及其补充通知、答疑纪要；</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设计文件及相关资料；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施工现场情况、工程特点及拟定的投标施工组织设计或施工方案；</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与建设项目相关的标准、规范等技术资料；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市场价格信息或工程造价管理机构发布的工程造价信息；</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其他的相关资料。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2.3工程量清单中标价的单价或金额，应包括所需人工费、材料费、施工机具使用费、管理费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利润，以及一定范围内的风险费用。所谓“一定范围内的风险”是指合同约定的风险。</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2.5分部分项工程和措施项目中的单价项目按下列要求报价：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2.5.1分部分项工程和措施项目中的单价项目，应根据招标文件和招标工程量清单确定综合单价。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 “分部分项工程和单价措施项目清单与计价表”所列各项目的综合单价组成中，各项目的人工、材料和机械台班消耗量、管理费费率、利润费率由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按照其自身情况做充分的、竞争性考虑。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2.6措施项目中的总价项目按下列要求报价：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总价措施项目中，以费率计算的，投标单位在投标报价时自主报价；其他总价措施项目，按项计取，综合单价按实际或可能发生的费用进行计算。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措施项目清单中的安全文明施工费应按国家、省级或行业建设主管部门的规定计价，不得作为竞争性费用。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在报价时应充分、全面地阅读和理解招标文件的相关内容和约定，包括第七章“技术标准和要求”的相关约定，详实了解工程场地及其周围环境，充分考虑招标工程特点及拟定的施工方案和施工组织设计，</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可根据工程实际与施工组织设计增补总价措施项目，但不应更改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已列措施项目。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“总价措施项目清单与计价表”中所填写的报价金额，应全面涵盖招标文件约定的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中标后施工、竣工、交付本工程并维修其任何缺陷所需要履行的责任和义务的全部费用。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2.7其他项目清单费应按下列规定报价：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暂列金额按“暂列金额明细表”中列出的金额报价，此处的暂列金额是</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在招标文件中统一给定的，并不包括本章的计日工金额。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计日工按“计日工表”中列出的项目和估算数量，自主确定综合单价并计算计日工金额。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总承包服务费根据招标文件中列出的内容和要求，按“总承包服务费计价表”所列格式自主报价。</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规费和税金应按“规费、税金项目计价表”所列项目并根据国家、省级或行业建设主管部门的有关规定列项和计算，不得作为竞争性费用。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 除招标文件有强制性规定以及不可竞争部分以外，投标报价由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自主确定，但不得低于成本。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 工程量清单计价所涉及的生产资源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包括各类人工、材料、工程设备、施工设备、临时设施、临时用水、临时用电等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的投标价格，应根据自身的信息渠道和采购渠道，分析其市场价格水平并判断其整个施工周期内的变化趋势，体现</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自身的管理水平、技术水平和综合实力。</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管理费应由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在保证不低于其成本的基础上做竞争性考虑；利润由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根据自身情况和综合实力做竞争性考虑。</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投标报价中应考虑招标文件中要求</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承担的风险范围以及相关的费用。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2.13 投标总价为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在投标文件中提出的各项支付金额的总和，为实施、完成招标工程并修补缺陷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进场材料检测以及履行招标文件中约定的风险范围内的所有责任和义务所发生的全部费用。</w:t>
      </w:r>
      <w:r>
        <w:rPr>
          <w:rFonts w:hint="eastAsia" w:ascii="宋体" w:hAnsi="宋体" w:eastAsia="宋体" w:cs="宋体"/>
          <w:b/>
          <w:bCs/>
          <w:color w:val="auto"/>
          <w:sz w:val="24"/>
          <w:szCs w:val="24"/>
          <w:highlight w:val="none"/>
          <w:lang w:val="en-US"/>
        </w:rPr>
        <w:t xml:space="preserve">  </w:t>
      </w:r>
      <w:r>
        <w:rPr>
          <w:rFonts w:hint="eastAsia" w:ascii="宋体" w:hAnsi="宋体" w:eastAsia="宋体" w:cs="宋体"/>
          <w:color w:val="auto"/>
          <w:sz w:val="24"/>
          <w:szCs w:val="24"/>
          <w:highlight w:val="none"/>
          <w:lang w:val="en-US"/>
        </w:rPr>
        <w:t xml:space="preserve">   </w:t>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55" w:name="_Toc498006751"/>
      <w:r/>
      <w:bookmarkStart w:id="756" w:name="_Toc473034408"/>
      <w:r>
        <w:rPr>
          <w:rFonts w:hint="eastAsia" w:ascii="宋体" w:hAnsi="宋体" w:eastAsia="宋体" w:cs="宋体"/>
          <w:b/>
          <w:color w:val="auto"/>
          <w:sz w:val="24"/>
          <w:szCs w:val="24"/>
          <w:highlight w:val="none"/>
        </w:rPr>
        <w:t xml:space="preserve">3．其他说明</w:t>
      </w:r>
      <w:bookmarkEnd w:id="755"/>
      <w:r/>
      <w:bookmarkEnd w:id="756"/>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3.1词语和定义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同义词语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本章中使用的词语“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”分别与合同条款中定义的“发包人”和“承包人”同义。</w:t>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3.2工程量差异调整</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工程量清单中的项目列项、特征描述、工作内容以及“分部分项工程和单价措施项目清单与计价表”中附带的工程量都不应理解为是对承包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范围以及合同工作内容的唯一的、最终的或全部的定义。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提供的工程量清单进行复核。这种复核包括对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经过检查和复核以后认为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提供的工程量清单存在差异，则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按第二章2.4款规定的程序向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提出异议。</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如果</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在检查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根据上文第3.2.2项提交的工程量差异问题后认为没有必要对工程量清单进行补充和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修改，或者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根据上文第3.2.2项对工程量清单进行了补充和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修改，但</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认为工程量清单中的工程量依然存在差异，则此类差异不再提交</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答疑和修正，而是直接按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可能的补充和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进行投标报价。</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在按照工程量清单进行报价时，除按照本节2.7.3项要求对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提供的措施项目清单项目增补外，不得改变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包括对工程量清单项目的项目名称、项目特征描述、计量单位以及工程量的任何修改、增加或减少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提供的分部分项工程量清单和其他项目清单。即使按照图纸和招标范围的约定并不存在的项目，只要在</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提供的分部分项工程量清单中已经列明，</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都需要对其报价，并纳入投标总价的计算。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3.3暂列金额和暂估价</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“暂列金额明细表”中所列暂列金额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不包括计日工金额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中已经包含与其对应的管理费、利润。</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应按本招标文件规定将此类暂列金额直接纳入其他项目清单的投标价格中。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专业工程暂估价及结算价表中所列的专业工程暂估价已经包含与其对应的管理费、利润，但不含规费和税金。</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应按本招标文件规定将此类暂估价直接纳入其他项目清单的投标价格中。</w:t>
      </w:r>
      <w:r/>
    </w:p>
    <w:p>
      <w:pPr>
        <w:ind w:left="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bookmarkStart w:id="757" w:name="_Toc28804"/>
      <w:r/>
      <w:bookmarkStart w:id="758" w:name="_Toc21910"/>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、技术标准和要求</w:t>
      </w:r>
      <w:bookmarkEnd w:id="757"/>
      <w:r/>
      <w:bookmarkEnd w:id="758"/>
      <w:r/>
      <w:bookmarkStart w:id="759" w:name="_Toc349557651"/>
      <w:r/>
      <w:bookmarkEnd w:id="759"/>
      <w:r/>
      <w:bookmarkStart w:id="760" w:name="_Toc349555826"/>
      <w:r/>
      <w:bookmarkEnd w:id="760"/>
      <w:r/>
      <w:r/>
    </w:p>
    <w:p>
      <w:pPr>
        <w:ind w:left="0" w:firstLine="60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61" w:name="_Toc333498743"/>
      <w:r>
        <w:rPr>
          <w:rFonts w:hint="eastAsia" w:ascii="宋体" w:hAnsi="宋体" w:eastAsia="宋体" w:cs="宋体"/>
          <w:color w:val="auto"/>
          <w:sz w:val="24"/>
          <w:szCs w:val="24"/>
          <w:highlight w:val="none"/>
        </w:rPr>
        <w:t xml:space="preserve">1、本工程采用的计价规范</w:t>
      </w:r>
      <w:bookmarkEnd w:id="761"/>
      <w:r>
        <w:rPr>
          <w:rFonts w:hint="eastAsia" w:ascii="宋体" w:hAnsi="宋体" w:eastAsia="宋体" w:cs="宋体"/>
          <w:color w:val="auto"/>
          <w:sz w:val="24"/>
          <w:szCs w:val="24"/>
          <w:highlight w:val="none"/>
        </w:rPr>
        <w:t xml:space="preserve">（包括但不限于以下规范、要求）</w:t>
      </w:r>
      <w:r/>
    </w:p>
    <w:p>
      <w:pPr>
        <w:ind w:left="0" w:firstLine="470"/>
        <w:keepLines w:val="0"/>
        <w:keepNext w:val="0"/>
        <w:pageBreakBefore w:val="0"/>
        <w:spacing w:line="360" w:lineRule="auto"/>
        <w:widowControl w:val="off"/>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（1）江苏省、南通市其他现行的计价文件及补充计价定额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62" w:name="_Toc333498744"/>
      <w:r>
        <w:rPr>
          <w:rFonts w:hint="eastAsia" w:ascii="宋体" w:hAnsi="宋体" w:eastAsia="宋体" w:cs="宋体"/>
          <w:color w:val="auto"/>
          <w:sz w:val="24"/>
          <w:szCs w:val="24"/>
          <w:highlight w:val="none"/>
        </w:rPr>
        <w:t xml:space="preserve">2、本工程采用的技术规范</w:t>
      </w:r>
      <w:bookmarkEnd w:id="762"/>
      <w:r>
        <w:rPr>
          <w:rFonts w:hint="eastAsia" w:ascii="宋体" w:hAnsi="宋体" w:eastAsia="宋体" w:cs="宋体"/>
          <w:color w:val="auto"/>
          <w:sz w:val="24"/>
          <w:szCs w:val="24"/>
          <w:highlight w:val="none"/>
        </w:rPr>
        <w:t xml:space="preserve">（包括但不限于以下规范、要求）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本工程应执行的相关工程施工、检测、验收的相关规范与标准。当相关规范或标准互相矛盾时，以最新和最严格的为准。</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63" w:name="_Toc333498745"/>
      <w:r>
        <w:rPr>
          <w:rFonts w:hint="eastAsia" w:ascii="宋体" w:hAnsi="宋体" w:eastAsia="宋体" w:cs="宋体"/>
          <w:color w:val="auto"/>
          <w:sz w:val="24"/>
          <w:szCs w:val="24"/>
          <w:highlight w:val="none"/>
        </w:rPr>
        <w:t xml:space="preserve">3、本工程对施工工艺的特殊要求</w:t>
      </w:r>
      <w:bookmarkEnd w:id="763"/>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（1）工程的主要部位和特殊要求由建设、设计、监理三方讨论后以书面形式通知施工单位实施。</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TW"/>
        </w:rPr>
        <w:t xml:space="preserve">施工期间要注意周边环境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减少对周围</w:t>
      </w:r>
      <w:r>
        <w:rPr>
          <w:rFonts w:hint="eastAsia" w:ascii="宋体" w:hAnsi="宋体" w:eastAsia="宋体" w:cs="宋体"/>
          <w:color w:val="auto"/>
          <w:sz w:val="24"/>
          <w:szCs w:val="24"/>
          <w:highlight w:val="none"/>
        </w:rPr>
        <w:t xml:space="preserve">环境的</w:t>
      </w:r>
      <w:r>
        <w:rPr>
          <w:rFonts w:hint="eastAsia" w:ascii="宋体" w:hAnsi="宋体" w:eastAsia="宋体" w:cs="宋体"/>
          <w:color w:val="auto"/>
          <w:sz w:val="24"/>
          <w:szCs w:val="24"/>
          <w:highlight w:val="none"/>
          <w:lang w:eastAsia="zh-TW"/>
        </w:rPr>
        <w:t xml:space="preserve">影响</w:t>
      </w:r>
      <w:r>
        <w:rPr>
          <w:rFonts w:hint="eastAsia" w:ascii="宋体" w:hAnsi="宋体" w:eastAsia="宋体" w:cs="宋体"/>
          <w:color w:val="auto"/>
          <w:sz w:val="24"/>
          <w:szCs w:val="24"/>
          <w:highlight w:val="none"/>
        </w:rPr>
        <w:t xml:space="preserve">（灰尘、噪音等）。</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（3）施工期间要注意周边环境，尽量避免对周围居民生活的影响。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（4）冬、雨季施工要采取相应的保护措施。  </w:t>
      </w:r>
      <w:r/>
    </w:p>
    <w:p>
      <w:pPr>
        <w:ind w:left="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、需要补充的其它内容：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1、现场条件</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施工现场情况：本工程现场条件较复杂，请供应商务必自行认真踏勘现场条件并综合考虑到报价中，一旦中标不得对现场条件提出额外要求。</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施工用水、电：自行解决。</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3</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场内外道路：已通。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4</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其他：</w:t>
      </w:r>
      <w:r>
        <w:rPr>
          <w:rFonts w:hint="eastAsia" w:ascii="宋体" w:hAnsi="宋体"/>
          <w:color w:val="auto"/>
          <w:sz w:val="24"/>
          <w:highlight w:val="none"/>
          <w:lang w:val="en-US" w:eastAsia="zh-CN"/>
        </w:rPr>
        <w:t xml:space="preserve">成交供应商</w:t>
      </w:r>
      <w:r>
        <w:rPr>
          <w:rFonts w:hint="default" w:ascii="宋体" w:hAnsi="宋体" w:eastAsia="宋体"/>
          <w:color w:val="auto"/>
          <w:sz w:val="24"/>
          <w:szCs w:val="24"/>
          <w:highlight w:val="none"/>
        </w:rPr>
        <w:t xml:space="preserve">应独立、有效</w:t>
      </w:r>
      <w:r>
        <w:rPr>
          <w:rFonts w:hint="eastAsia" w:ascii="宋体" w:hAnsi="宋体" w:eastAsia="宋体"/>
          <w:color w:val="auto"/>
          <w:sz w:val="24"/>
          <w:szCs w:val="24"/>
          <w:highlight w:val="none"/>
          <w:lang w:eastAsia="zh-CN"/>
        </w:rPr>
        <w:t xml:space="preserve">地</w:t>
      </w:r>
      <w:r>
        <w:rPr>
          <w:rFonts w:hint="default" w:ascii="宋体" w:hAnsi="宋体" w:eastAsia="宋体"/>
          <w:color w:val="auto"/>
          <w:sz w:val="24"/>
          <w:szCs w:val="24"/>
          <w:highlight w:val="none"/>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auto"/>
          <w:sz w:val="24"/>
          <w:szCs w:val="24"/>
          <w:highlight w:val="none"/>
          <w:lang w:eastAsia="zh-CN"/>
        </w:rPr>
        <w:t xml:space="preserve">供应商</w:t>
      </w:r>
      <w:r>
        <w:rPr>
          <w:rFonts w:hint="default" w:ascii="宋体" w:hAnsi="宋体" w:eastAsia="宋体"/>
          <w:color w:val="auto"/>
          <w:sz w:val="24"/>
          <w:szCs w:val="24"/>
          <w:highlight w:val="none"/>
        </w:rPr>
        <w:t xml:space="preserve">自行考虑，并列入投标报价，工程结算时不作调整，一旦</w:t>
      </w:r>
      <w:r>
        <w:rPr>
          <w:rFonts w:hint="eastAsia" w:ascii="宋体" w:hAnsi="宋体" w:eastAsia="宋体"/>
          <w:color w:val="auto"/>
          <w:sz w:val="24"/>
          <w:szCs w:val="24"/>
          <w:highlight w:val="none"/>
          <w:lang w:val="en-US" w:eastAsia="zh-CN"/>
        </w:rPr>
        <w:t xml:space="preserve">中标</w:t>
      </w:r>
      <w:r>
        <w:rPr>
          <w:rFonts w:hint="default" w:ascii="宋体" w:hAnsi="宋体" w:eastAsia="宋体"/>
          <w:color w:val="auto"/>
          <w:sz w:val="24"/>
          <w:szCs w:val="24"/>
          <w:highlight w:val="none"/>
        </w:rPr>
        <w:t xml:space="preserve">不得对现</w:t>
      </w:r>
      <w:r>
        <w:rPr>
          <w:rFonts w:hint="default" w:ascii="宋体" w:hAnsi="宋体" w:eastAsia="宋体" w:cs="Times New Roman"/>
          <w:color w:val="auto"/>
          <w:sz w:val="24"/>
          <w:szCs w:val="24"/>
          <w:highlight w:val="none"/>
        </w:rPr>
        <w:t xml:space="preserve">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firstLine="480"/>
        <w:jc w:val="left"/>
        <w:spacing w:line="360" w:lineRule="auto"/>
        <w:rPr>
          <w:rFonts w:hint="eastAsia" w:ascii="宋体" w:hAnsi="宋体" w:eastAsia="宋体" w:cs="Times New Roman"/>
          <w:color w:val="auto"/>
          <w:sz w:val="24"/>
          <w:szCs w:val="24"/>
          <w:highlight w:val="none"/>
          <w:lang w:eastAsia="zh-CN"/>
        </w:rPr>
      </w:pPr>
      <w:r/>
      <w:bookmarkStart w:id="764" w:name="_Toc120614281"/>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numPr>
          <w:ilvl w:val="0"/>
          <w:numId w:val="10"/>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auto"/>
          <w:sz w:val="44"/>
          <w:szCs w:val="21"/>
          <w:highlight w:val="none"/>
          <w:lang w:val="en-US" w:eastAsia="zh-CN"/>
        </w:rPr>
      </w:r>
      <w:r/>
    </w:p>
    <w:p>
      <w:pPr>
        <w:numPr>
          <w:ilvl w:val="0"/>
          <w:numId w:val="10"/>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pPr>
      <w:r>
        <w:rPr>
          <w:rFonts w:hint="eastAsia" w:ascii="宋体" w:hAnsi="宋体" w:eastAsia="宋体" w:cs="宋体"/>
          <w:bCs/>
          <w:color w:val="auto"/>
          <w:sz w:val="44"/>
          <w:szCs w:val="21"/>
          <w:highlight w:val="none"/>
          <w:lang w:val="en-US" w:eastAsia="zh-CN"/>
        </w:rPr>
        <w:t xml:space="preserve">  评审方法与评审标准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评标方法</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本次招标采用综合评分法。</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评标程序及评标标准</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（一）磋商小组对供应商资格进行审查。</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资格性审查必要合格条件标准如下：</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供应商符合《中华人民共和国政府采购法</w:t>
      </w:r>
      <w:r>
        <w:rPr>
          <w:rFonts w:hint="eastAsia" w:ascii="宋体" w:hAnsi="宋体" w:eastAsia="宋体" w:cs="宋体"/>
          <w:color w:val="auto"/>
          <w:sz w:val="24"/>
          <w:highlight w:val="none"/>
        </w:rPr>
        <w:t xml:space="preserve">》第二十二条规定条件的承诺函</w:t>
      </w:r>
      <w:r>
        <w:rPr>
          <w:rFonts w:hint="eastAsia" w:ascii="宋体" w:hAnsi="宋体" w:eastAsia="宋体" w:cs="宋体"/>
          <w:color w:val="auto"/>
          <w:sz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bCs/>
          <w:color w:val="auto"/>
          <w:sz w:val="24"/>
          <w:highlight w:val="none"/>
          <w:lang w:bidi="ar"/>
        </w:rPr>
        <w:t xml:space="preserve">法定代表人参加</w:t>
      </w:r>
      <w:r>
        <w:rPr>
          <w:rFonts w:hint="eastAsia" w:ascii="宋体" w:hAnsi="宋体" w:eastAsia="宋体" w:cs="宋体"/>
          <w:bCs/>
          <w:color w:val="auto"/>
          <w:sz w:val="24"/>
          <w:highlight w:val="none"/>
          <w:lang w:val="en-US" w:eastAsia="zh-CN" w:bidi="ar"/>
        </w:rPr>
        <w:t xml:space="preserve">磋商</w:t>
      </w:r>
      <w:r>
        <w:rPr>
          <w:rFonts w:hint="eastAsia" w:ascii="宋体" w:hAnsi="宋体" w:eastAsia="宋体" w:cs="宋体"/>
          <w:bCs/>
          <w:color w:val="auto"/>
          <w:sz w:val="24"/>
          <w:highlight w:val="none"/>
          <w:lang w:bidi="ar"/>
        </w:rPr>
        <w:t xml:space="preserve">的，必须提供法定代表人身份证明及本人身份证</w:t>
      </w:r>
      <w:r>
        <w:rPr>
          <w:rFonts w:hint="eastAsia" w:ascii="宋体" w:hAnsi="宋体" w:eastAsia="宋体" w:cs="宋体"/>
          <w:bCs/>
          <w:color w:val="auto"/>
          <w:sz w:val="24"/>
          <w:highlight w:val="none"/>
          <w:lang w:val="en-US" w:eastAsia="zh-CN" w:bidi="ar"/>
        </w:rPr>
        <w:t xml:space="preserve">扫描</w:t>
      </w:r>
      <w:r>
        <w:rPr>
          <w:rFonts w:hint="eastAsia" w:ascii="宋体" w:hAnsi="宋体" w:eastAsia="宋体" w:cs="宋体"/>
          <w:bCs/>
          <w:color w:val="auto"/>
          <w:sz w:val="24"/>
          <w:highlight w:val="none"/>
          <w:lang w:bidi="ar"/>
        </w:rPr>
        <w:t xml:space="preserve">件；非法定代表人参加的，必须提供法定代表人签名或盖章的授权委托书原件、法定代表人身份证</w:t>
      </w:r>
      <w:r>
        <w:rPr>
          <w:rFonts w:hint="eastAsia" w:ascii="宋体" w:hAnsi="宋体" w:eastAsia="宋体" w:cs="宋体"/>
          <w:bCs/>
          <w:color w:val="auto"/>
          <w:sz w:val="24"/>
          <w:highlight w:val="none"/>
          <w:lang w:val="en-US" w:eastAsia="zh-CN" w:bidi="ar"/>
        </w:rPr>
        <w:t xml:space="preserve">扫描</w:t>
      </w:r>
      <w:r>
        <w:rPr>
          <w:rFonts w:hint="eastAsia" w:ascii="宋体" w:hAnsi="宋体" w:eastAsia="宋体" w:cs="宋体"/>
          <w:bCs/>
          <w:color w:val="auto"/>
          <w:sz w:val="24"/>
          <w:highlight w:val="none"/>
          <w:lang w:bidi="ar"/>
        </w:rPr>
        <w:t xml:space="preserve">件</w:t>
      </w:r>
      <w:r>
        <w:rPr>
          <w:rFonts w:hint="eastAsia" w:ascii="宋体" w:hAnsi="宋体" w:eastAsia="宋体" w:cs="宋体"/>
          <w:bCs/>
          <w:color w:val="auto"/>
          <w:sz w:val="24"/>
          <w:highlight w:val="none"/>
          <w:lang w:eastAsia="zh-CN" w:bidi="ar"/>
        </w:rPr>
        <w:t xml:space="preserve">及</w:t>
      </w:r>
      <w:r>
        <w:rPr>
          <w:rFonts w:hint="eastAsia" w:ascii="宋体" w:hAnsi="宋体" w:eastAsia="宋体" w:cs="宋体"/>
          <w:bCs/>
          <w:color w:val="auto"/>
          <w:sz w:val="24"/>
          <w:highlight w:val="none"/>
          <w:lang w:bidi="ar"/>
        </w:rPr>
        <w:t xml:space="preserve">被委托授权人身份证</w:t>
      </w:r>
      <w:r>
        <w:rPr>
          <w:rFonts w:hint="eastAsia" w:ascii="宋体" w:hAnsi="宋体" w:eastAsia="宋体" w:cs="宋体"/>
          <w:bCs/>
          <w:color w:val="auto"/>
          <w:sz w:val="24"/>
          <w:highlight w:val="none"/>
          <w:lang w:val="en-US" w:eastAsia="zh-CN" w:bidi="ar"/>
        </w:rPr>
        <w:t xml:space="preserve">扫描</w:t>
      </w:r>
      <w:r>
        <w:rPr>
          <w:rFonts w:hint="eastAsia" w:ascii="宋体" w:hAnsi="宋体" w:eastAsia="宋体" w:cs="宋体"/>
          <w:bCs/>
          <w:color w:val="auto"/>
          <w:sz w:val="24"/>
          <w:highlight w:val="none"/>
          <w:lang w:bidi="ar"/>
        </w:rPr>
        <w:t xml:space="preserve">件这三项。（须加盖公章）</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（3）法人或者其他组织的营业执照等证明文件；</w:t>
      </w:r>
      <w:r>
        <w:rPr>
          <w:rFonts w:hint="eastAsia" w:ascii="宋体" w:hAnsi="宋体" w:eastAsia="宋体" w:cs="宋体"/>
          <w:b w:val="0"/>
          <w:bCs/>
          <w:color w:val="auto"/>
          <w:sz w:val="24"/>
          <w:szCs w:val="24"/>
          <w:highlight w:val="none"/>
          <w:lang w:val="en-US" w:eastAsia="zh-CN"/>
        </w:rPr>
        <w:t xml:space="preserve">自然人的身份证明；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（4）有效的企业资质证书及安全生产许可证；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（5）拟派项目负责人有效建造师证书及安全生产考核B证；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拟派项目负责人及授权委托人和企业签订的有效劳动合同及供应商所在地社保机构出具的由企业为拟派项目负责人及授权委托人缴纳的</w:t>
      </w:r>
      <w:r>
        <w:rPr>
          <w:rFonts w:hint="default" w:ascii="宋体" w:hAnsi="宋体" w:eastAsia="宋体" w:cs="宋体"/>
          <w:color w:val="auto"/>
          <w:sz w:val="24"/>
          <w:highlight w:val="none"/>
        </w:rPr>
        <w:t xml:space="preserve">投标截止时间</w:t>
      </w:r>
      <w:r>
        <w:rPr>
          <w:rFonts w:hint="eastAsia" w:ascii="宋体" w:hAnsi="宋体" w:eastAsia="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eastAsia="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eastAsia="宋体" w:cs="Times New Roman"/>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（7）供应商提供</w:t>
      </w:r>
      <w:r>
        <w:rPr>
          <w:rFonts w:hint="eastAsia" w:ascii="宋体" w:hAnsi="宋体" w:eastAsia="宋体" w:cs="宋体"/>
          <w:bCs/>
          <w:color w:val="auto"/>
          <w:sz w:val="24"/>
          <w:highlight w:val="none"/>
          <w:lang w:val="en-US" w:eastAsia="zh-CN" w:bidi="ar"/>
        </w:rPr>
        <w:t xml:space="preserve">2024（或2025）年度</w:t>
      </w:r>
      <w:r>
        <w:rPr>
          <w:rFonts w:hint="eastAsia" w:ascii="宋体" w:hAnsi="宋体" w:eastAsia="宋体" w:cs="宋体"/>
          <w:bCs/>
          <w:color w:val="auto"/>
          <w:sz w:val="24"/>
          <w:highlight w:val="none"/>
          <w:lang w:eastAsia="zh-CN" w:bidi="ar"/>
        </w:rPr>
        <w:t xml:space="preserve">由会计师事务所（或者审计机构）出具的完整的财务报告</w:t>
      </w:r>
      <w:r>
        <w:rPr>
          <w:rFonts w:hint="eastAsia" w:ascii="宋体" w:hAnsi="宋体" w:eastAsia="宋体" w:cs="宋体"/>
          <w:bCs/>
          <w:color w:val="auto"/>
          <w:sz w:val="24"/>
          <w:highlight w:val="none"/>
          <w:lang w:bidi="ar"/>
        </w:rPr>
        <w:t xml:space="preserve">或投标截止时间前三个月（不含投标截止时间当月）中至少一个月</w:t>
      </w:r>
      <w:r>
        <w:rPr>
          <w:rFonts w:hint="eastAsia" w:ascii="宋体" w:hAnsi="宋体" w:eastAsia="宋体" w:cs="宋体"/>
          <w:bCs/>
          <w:color w:val="auto"/>
          <w:sz w:val="24"/>
          <w:highlight w:val="none"/>
          <w:lang w:eastAsia="zh-CN" w:bidi="ar"/>
        </w:rPr>
        <w:t xml:space="preserve">的银行</w:t>
      </w:r>
      <w:r>
        <w:rPr>
          <w:rFonts w:hint="eastAsia" w:ascii="宋体" w:hAnsi="宋体" w:eastAsia="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rPr>
          <w:rFonts w:hint="eastAsia" w:ascii="宋体" w:hAnsi="宋体" w:eastAsia="宋体" w:cs="宋体"/>
          <w:b w:val="0"/>
          <w:bCs/>
          <w:color w:val="auto"/>
          <w:sz w:val="24"/>
          <w:szCs w:val="24"/>
          <w:highlight w:val="none"/>
          <w:lang w:val="en-US"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（9）具备履行合同所必需的设备和专业技术能力的书面声明；</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（10）参加政府采购活动前 3 年内在经营活动中没有重大违法记录的书面声明</w:t>
      </w:r>
      <w:r>
        <w:rPr>
          <w:rFonts w:hint="eastAsia" w:ascii="宋体" w:hAnsi="宋体" w:eastAsia="宋体" w:cs="宋体"/>
          <w:b w:val="0"/>
          <w:bCs/>
          <w:color w:val="auto"/>
          <w:sz w:val="24"/>
          <w:szCs w:val="24"/>
          <w:highlight w:val="none"/>
          <w:lang w:val="zh-CN"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lang w:val="zh-CN" w:eastAsia="zh-CN"/>
        </w:rPr>
        <w:t xml:space="preserve">）磋商供应商拟派项目负责人无在建工程承诺书；</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zh-CN" w:eastAsia="zh-CN"/>
        </w:rPr>
        <w:t xml:space="preserve">）其他证明材料（本项目专门面向中小企业采购）</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lang w:val="zh-CN" w:eastAsia="zh-CN"/>
        </w:rPr>
        <w:t xml:space="preserve">中小企业声明函；</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lang w:val="zh-CN" w:eastAsia="zh-CN"/>
        </w:rPr>
        <w:t xml:space="preserve">监狱企业证明函（如符合监狱企业的需提供）；</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val="zh-CN" w:eastAsia="zh-CN"/>
        </w:rPr>
        <w:t xml:space="preserve">残疾人福利性单位声明函（如符合残疾人福利性单位的需提供）</w:t>
      </w:r>
      <w:r>
        <w:rPr>
          <w:rFonts w:hint="eastAsia" w:ascii="宋体" w:hAnsi="宋体" w:eastAsia="宋体" w:cs="宋体"/>
          <w:b w:val="0"/>
          <w:bCs/>
          <w:color w:val="auto"/>
          <w:sz w:val="24"/>
          <w:szCs w:val="24"/>
          <w:highlight w:val="none"/>
          <w:lang w:val="en-US" w:eastAsia="zh-CN"/>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（13）</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响应函</w:t>
      </w:r>
      <w:r>
        <w:rPr>
          <w:rFonts w:hint="eastAsia" w:ascii="宋体" w:hAnsi="宋体" w:eastAsia="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（14）</w:t>
      </w:r>
      <w:r>
        <w:rPr>
          <w:rFonts w:hint="eastAsia" w:ascii="宋体" w:hAnsi="宋体" w:eastAsia="宋体" w:cs="宋体"/>
          <w:b w:val="0"/>
          <w:bCs/>
          <w:color w:val="auto"/>
          <w:sz w:val="24"/>
          <w:szCs w:val="24"/>
          <w:highlight w:val="none"/>
          <w:lang w:val="en-US" w:eastAsia="zh-CN"/>
        </w:rPr>
        <w:t xml:space="preserve">供应商信用承诺书</w:t>
      </w:r>
      <w:r>
        <w:rPr>
          <w:rFonts w:hint="eastAsia" w:ascii="宋体" w:hAnsi="宋体" w:eastAsia="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上述（1）—（1</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）中，供应商资格不合格的，其响应文件判定为无效投标文件。</w:t>
      </w:r>
      <w:r/>
    </w:p>
    <w:p>
      <w:pPr>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（二）磋商小组对符合资格供应商的响应文件进行符合性审查。</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 xml:space="preserve">未通过符合性审查的投标文件，将被判为不满足招标文件实质性要求。</w:t>
      </w:r>
      <w:r/>
    </w:p>
    <w:p>
      <w:pPr>
        <w:ind w:firstLine="482"/>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（三）</w:t>
      </w:r>
      <w:r>
        <w:rPr>
          <w:rFonts w:hint="eastAsia" w:ascii="宋体" w:hAnsi="宋体" w:cs="宋体"/>
          <w:b/>
          <w:color w:val="auto"/>
          <w:sz w:val="24"/>
          <w:highlight w:val="none"/>
        </w:rPr>
        <w:t xml:space="preserve">商务技术标及报价标评审标准（100分）</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Times New Roman" w:hAnsi="Times New Roman" w:cs="宋体"/>
          <w:color w:val="auto"/>
          <w:sz w:val="24"/>
          <w:szCs w:val="24"/>
          <w:highlight w:val="none"/>
        </w:rPr>
        <w:t xml:space="preserve">本项目总分值为</w:t>
      </w:r>
      <w:r>
        <w:rPr>
          <w:rFonts w:ascii="Times New Roman" w:hAnsi="Times New Roman" w:cs="Times New Roman"/>
          <w:color w:val="auto"/>
          <w:sz w:val="24"/>
          <w:szCs w:val="24"/>
          <w:highlight w:val="none"/>
        </w:rPr>
        <w:t xml:space="preserve">100</w:t>
      </w:r>
      <w:r>
        <w:rPr>
          <w:rFonts w:hint="eastAsia" w:ascii="Times New Roman" w:hAnsi="Times New Roman" w:cs="宋体"/>
          <w:color w:val="auto"/>
          <w:sz w:val="24"/>
          <w:szCs w:val="24"/>
          <w:highlight w:val="none"/>
        </w:rPr>
        <w:t xml:space="preserve">分，其中</w:t>
      </w:r>
      <w:r>
        <w:rPr>
          <w:rFonts w:hint="eastAsia" w:ascii="Times New Roman" w:hAnsi="Times New Roman" w:cs="宋体"/>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w:t>
      </w:r>
      <w:r>
        <w:rPr>
          <w:rFonts w:hint="eastAsia" w:cs="宋体"/>
          <w:color w:val="auto"/>
          <w:sz w:val="24"/>
          <w:szCs w:val="24"/>
          <w:highlight w:val="none"/>
          <w:lang w:val="en-US" w:eastAsia="zh-CN"/>
        </w:rPr>
        <w:t xml:space="preserve">40</w:t>
      </w:r>
      <w:r>
        <w:rPr>
          <w:rFonts w:hint="eastAsia" w:ascii="Times New Roman" w:hAnsi="Times New Roman" w:cs="宋体"/>
          <w:color w:val="auto"/>
          <w:sz w:val="24"/>
          <w:szCs w:val="24"/>
          <w:highlight w:val="none"/>
        </w:rPr>
        <w:t xml:space="preserve">分，</w:t>
      </w:r>
      <w:r>
        <w:rPr>
          <w:rFonts w:hint="eastAsia" w:ascii="Times New Roman" w:hAnsi="Times New Roman" w:cs="Times New Roman"/>
          <w:color w:val="auto"/>
          <w:sz w:val="24"/>
          <w:szCs w:val="24"/>
          <w:highlight w:val="none"/>
          <w:lang w:eastAsia="zh-CN"/>
        </w:rPr>
        <w:t xml:space="preserve">价格</w:t>
      </w:r>
      <w:r>
        <w:rPr>
          <w:rFonts w:hint="eastAsia" w:ascii="Times New Roman" w:hAnsi="Times New Roman" w:cs="Times New Roman"/>
          <w:color w:val="auto"/>
          <w:sz w:val="24"/>
          <w:szCs w:val="24"/>
          <w:highlight w:val="none"/>
        </w:rPr>
        <w:t xml:space="preserve">部分</w:t>
      </w:r>
      <w:r>
        <w:rPr>
          <w:rFonts w:hint="eastAsia" w:cs="Times New Roman"/>
          <w:color w:val="auto"/>
          <w:sz w:val="24"/>
          <w:szCs w:val="24"/>
          <w:highlight w:val="none"/>
          <w:lang w:val="en-US" w:eastAsia="zh-CN"/>
        </w:rPr>
        <w:t xml:space="preserve">60</w:t>
      </w:r>
      <w:r>
        <w:rPr>
          <w:rFonts w:hint="eastAsia" w:ascii="Times New Roman" w:hAnsi="Times New Roman" w:cs="Times New Roman"/>
          <w:color w:val="auto"/>
          <w:sz w:val="24"/>
          <w:szCs w:val="24"/>
          <w:highlight w:val="none"/>
        </w:rPr>
        <w:t xml:space="preserve">分；</w:t>
      </w:r>
      <w:r>
        <w:rPr>
          <w:rFonts w:hint="eastAsia" w:ascii="Times New Roman" w:hAnsi="Times New Roman" w:cs="宋体"/>
          <w:color w:val="auto"/>
          <w:sz w:val="24"/>
          <w:szCs w:val="24"/>
          <w:highlight w:val="none"/>
        </w:rPr>
        <w:t xml:space="preserve">投标得分</w:t>
      </w:r>
      <w:r>
        <w:rPr>
          <w:rFonts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技术部分得分+</w:t>
      </w:r>
      <w:r>
        <w:rPr>
          <w:rFonts w:hint="eastAsia" w:ascii="Times New Roman" w:hAnsi="Times New Roman" w:cs="宋体"/>
          <w:color w:val="auto"/>
          <w:sz w:val="24"/>
          <w:szCs w:val="24"/>
          <w:highlight w:val="none"/>
          <w:lang w:eastAsia="zh-CN"/>
        </w:rPr>
        <w:t xml:space="preserve">价</w:t>
      </w:r>
      <w:r>
        <w:rPr>
          <w:rFonts w:hint="eastAsia" w:ascii="宋体" w:hAnsi="宋体" w:eastAsia="宋体" w:cs="宋体"/>
          <w:b w:val="0"/>
          <w:bCs/>
          <w:color w:val="auto"/>
          <w:sz w:val="24"/>
          <w:szCs w:val="24"/>
          <w:highlight w:val="none"/>
          <w:lang w:val="en-US" w:eastAsia="zh-CN"/>
        </w:rPr>
        <w:t xml:space="preserve">格部分得分。</w:t>
      </w:r>
      <w:bookmarkStart w:id="765" w:name="_Toc184635088"/>
      <w:r/>
      <w:bookmarkEnd w:id="765"/>
      <w:r/>
      <w:bookmarkStart w:id="766" w:name="_Toc12009"/>
      <w:r/>
      <w:bookmarkEnd w:id="766"/>
      <w:r/>
      <w:bookmarkStart w:id="767" w:name="_Toc474229428"/>
      <w:r/>
      <w:bookmarkEnd w:id="767"/>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商务技术标部分（</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lang w:val="en-US" w:eastAsia="zh-CN"/>
        </w:rPr>
        <w:t xml:space="preserve">分）</w:t>
      </w:r>
      <w:r/>
    </w:p>
    <w:tbl>
      <w:tblPr>
        <w:tblStyle w:val="953"/>
        <w:tblW w:w="9306" w:type="dxa"/>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533"/>
        <w:gridCol w:w="1005"/>
        <w:gridCol w:w="907"/>
        <w:gridCol w:w="5715"/>
      </w:tblGrid>
      <w:tr>
        <w:trPr>
          <w:trHeight w:val="285"/>
        </w:trPr>
        <w:tc>
          <w:tcPr>
            <w:tcBorders>
              <w:top w:val="single" w:color="auto" w:sz="6" w:space="0"/>
              <w:left w:val="single" w:color="auto" w:sz="6" w:space="0"/>
              <w:bottom w:val="single" w:color="auto" w:sz="4" w:space="0"/>
              <w:right w:val="single" w:color="auto" w:sz="6" w:space="0"/>
            </w:tcBorders>
            <w:tcW w:w="1146"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条款号</w:t>
            </w:r>
            <w:r/>
          </w:p>
        </w:tc>
        <w:tc>
          <w:tcPr>
            <w:gridSpan w:val="3"/>
            <w:tcBorders>
              <w:top w:val="single" w:color="auto" w:sz="6" w:space="0"/>
              <w:left w:val="single" w:color="auto" w:sz="6" w:space="0"/>
              <w:bottom w:val="single" w:color="auto" w:sz="4" w:space="0"/>
              <w:right w:val="single" w:color="auto" w:sz="6" w:space="0"/>
            </w:tcBorders>
            <w:tcW w:w="2445"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评分因素</w:t>
            </w:r>
            <w:r/>
          </w:p>
        </w:tc>
        <w:tc>
          <w:tcPr>
            <w:tcBorders>
              <w:top w:val="single" w:color="auto" w:sz="6" w:space="0"/>
              <w:left w:val="single" w:color="auto" w:sz="6" w:space="0"/>
              <w:bottom w:val="single" w:color="auto" w:sz="4" w:space="0"/>
              <w:right w:val="single" w:color="auto" w:sz="6" w:space="0"/>
            </w:tcBorders>
            <w:tcW w:w="5715"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评分标准</w:t>
            </w:r>
            <w:r/>
          </w:p>
        </w:tc>
      </w:tr>
      <w:tr>
        <w:trPr>
          <w:trHeight w:val="720"/>
        </w:trPr>
        <w:tc>
          <w:tcPr>
            <w:tcBorders>
              <w:top w:val="single" w:color="auto" w:sz="4" w:space="0"/>
              <w:left w:val="single" w:color="auto" w:sz="4" w:space="0"/>
              <w:right w:val="single" w:color="auto" w:sz="6" w:space="0"/>
            </w:tcBorders>
            <w:tcW w:w="1146" w:type="dxa"/>
            <w:vAlign w:val="center"/>
            <w:vMerge w:val="restart"/>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技术标评分标准（满分</w:t>
            </w:r>
            <w:r>
              <w:rPr>
                <w:rFonts w:hint="eastAsia" w:ascii="宋体" w:hAnsi="宋体"/>
                <w:color w:val="auto"/>
                <w:sz w:val="24"/>
                <w:szCs w:val="24"/>
                <w:highlight w:val="none"/>
                <w:lang w:val="en-US" w:eastAsia="zh-CN"/>
              </w:rPr>
              <w:t xml:space="preserve">40</w:t>
            </w:r>
            <w:r>
              <w:rPr>
                <w:rFonts w:hint="eastAsia" w:ascii="宋体" w:hAnsi="宋体" w:eastAsia="宋体"/>
                <w:color w:val="auto"/>
                <w:sz w:val="24"/>
                <w:szCs w:val="24"/>
                <w:highlight w:val="none"/>
              </w:rPr>
              <w:t xml:space="preserve">分）</w:t>
            </w:r>
            <w:r/>
          </w:p>
        </w:tc>
        <w:tc>
          <w:tcPr>
            <w:tcBorders>
              <w:top w:val="single" w:color="auto" w:sz="4"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1</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施工方案与技术措施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施工组织设计主要内容具有完整性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对执行计划、组织实施方案、控制措施、施工现场平面布置等内容进行评分</w:t>
            </w:r>
            <w:r>
              <w:rPr>
                <w:rFonts w:hint="eastAsia" w:ascii="宋体" w:hAnsi="宋体"/>
                <w:color w:val="auto"/>
                <w:sz w:val="24"/>
                <w:highlight w:val="none"/>
                <w:lang w:eastAsia="zh-CN"/>
              </w:rPr>
              <w:t xml:space="preserve">。</w:t>
            </w:r>
            <w:r/>
          </w:p>
        </w:tc>
      </w:tr>
      <w:tr>
        <w:trPr>
          <w:trHeight w:val="9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2</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施工重点难点解决方案</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关键施工技术、工艺及工程项目实施重点、难点、解决方案。</w:t>
            </w:r>
            <w:r/>
          </w:p>
        </w:tc>
      </w:tr>
      <w:tr>
        <w:trPr>
          <w:trHeight w:val="765"/>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3</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工程进度</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质量管理</w:t>
            </w:r>
            <w:r>
              <w:rPr>
                <w:rFonts w:hint="eastAsia" w:ascii="宋体" w:hAnsi="宋体"/>
                <w:color w:val="auto"/>
                <w:sz w:val="24"/>
                <w:highlight w:val="none"/>
                <w:lang w:eastAsia="zh-CN"/>
              </w:rPr>
              <w:t xml:space="preserve">的</w:t>
            </w:r>
            <w:r>
              <w:rPr>
                <w:rFonts w:hint="eastAsia" w:ascii="宋体" w:hAnsi="宋体"/>
                <w:color w:val="auto"/>
                <w:sz w:val="24"/>
                <w:highlight w:val="none"/>
              </w:rPr>
              <w:t xml:space="preserve">计划与措施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进度安排</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质量管理</w:t>
            </w:r>
            <w:r>
              <w:rPr>
                <w:rFonts w:hint="eastAsia" w:ascii="宋体" w:hAnsi="宋体"/>
                <w:color w:val="auto"/>
                <w:sz w:val="24"/>
                <w:highlight w:val="none"/>
                <w:lang w:val="en-US" w:eastAsia="zh-CN"/>
              </w:rPr>
              <w:t xml:space="preserve">措施</w:t>
            </w:r>
            <w:r>
              <w:rPr>
                <w:rFonts w:hint="eastAsia" w:ascii="宋体" w:hAnsi="宋体"/>
                <w:color w:val="auto"/>
                <w:sz w:val="24"/>
                <w:highlight w:val="none"/>
              </w:rPr>
              <w:t xml:space="preserve">具体、合理、可行，解决措施先进、合理有效、完全满足项目要求</w:t>
            </w:r>
            <w:r/>
          </w:p>
        </w:tc>
      </w:tr>
      <w:tr>
        <w:trPr>
          <w:trHeight w:val="926"/>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4</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确保完成工程建设的技术和管理措施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技术方案合理、完善、实用性强、有针对性，对本</w:t>
            </w:r>
            <w:r>
              <w:rPr>
                <w:rFonts w:hint="eastAsia" w:ascii="宋体" w:hAnsi="宋体"/>
                <w:color w:val="auto"/>
                <w:sz w:val="24"/>
                <w:highlight w:val="none"/>
                <w:lang w:eastAsia="zh-CN"/>
              </w:rPr>
              <w:t xml:space="preserve">项目的</w:t>
            </w:r>
            <w:r>
              <w:rPr>
                <w:rFonts w:hint="eastAsia" w:ascii="宋体" w:hAnsi="宋体"/>
                <w:color w:val="auto"/>
                <w:sz w:val="24"/>
                <w:highlight w:val="none"/>
              </w:rPr>
              <w:t xml:space="preserve">概况理解较深、工作方案切实可行</w:t>
            </w:r>
            <w:r>
              <w:rPr>
                <w:rFonts w:hint="eastAsia" w:ascii="宋体" w:hAnsi="宋体"/>
                <w:color w:val="auto"/>
                <w:sz w:val="24"/>
                <w:highlight w:val="none"/>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5</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安全生产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文明施工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环境保护体系与措施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安全生产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文明施工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环境保护管理体系及保证措施合理详细</w:t>
            </w:r>
            <w:r>
              <w:rPr>
                <w:rFonts w:hint="eastAsia" w:ascii="宋体" w:hAnsi="宋体"/>
                <w:color w:val="auto"/>
                <w:sz w:val="24"/>
                <w:highlight w:val="none"/>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w:t>
            </w:r>
            <w:r/>
          </w:p>
        </w:tc>
        <w:tc>
          <w:tcPr>
            <w:gridSpan w:val="2"/>
            <w:tcBorders>
              <w:top w:val="single" w:color="auto" w:sz="4"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质量通病的防治措施</w:t>
            </w:r>
            <w:r/>
          </w:p>
        </w:tc>
        <w:tc>
          <w:tcPr>
            <w:tcBorders>
              <w:top w:val="single" w:color="auto" w:sz="4" w:space="0"/>
              <w:left w:val="single" w:color="auto" w:sz="6" w:space="0"/>
              <w:bottom w:val="single" w:color="auto" w:sz="6" w:space="0"/>
              <w:right w:val="single" w:color="auto" w:sz="6"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质量通病分析及防治措施</w:t>
            </w:r>
            <w:r>
              <w:rPr>
                <w:rFonts w:hint="eastAsia" w:ascii="宋体" w:hAnsi="宋体"/>
                <w:color w:val="auto"/>
                <w:sz w:val="24"/>
                <w:highlight w:val="none"/>
                <w:lang w:eastAsia="zh-CN"/>
              </w:rPr>
              <w:t xml:space="preserve">。</w:t>
            </w:r>
            <w:r/>
          </w:p>
        </w:tc>
      </w:tr>
      <w:tr>
        <w:trPr>
          <w:trHeight w:val="72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4"/>
            <w:tcBorders>
              <w:top w:val="single" w:color="auto" w:sz="6" w:space="0"/>
              <w:left w:val="single" w:color="auto" w:sz="6" w:space="0"/>
              <w:bottom w:val="single" w:color="auto" w:sz="6" w:space="0"/>
              <w:right w:val="single" w:color="auto" w:sz="6" w:space="0"/>
            </w:tcBorders>
            <w:tcW w:w="8160" w:type="dxa"/>
            <w:vAlign w:val="center"/>
            <w:textDirection w:val="lrTb"/>
            <w:noWrap w:val="false"/>
          </w:tcPr>
          <w:p>
            <w:pPr>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第1-6项，各项</w:t>
            </w:r>
            <w:r>
              <w:rPr>
                <w:rFonts w:hint="eastAsia" w:ascii="宋体" w:hAnsi="宋体" w:cs="宋体"/>
                <w:color w:val="auto"/>
                <w:sz w:val="24"/>
                <w:highlight w:val="none"/>
                <w:lang w:bidi="ar"/>
              </w:rPr>
              <w:t xml:space="preserve">方案</w:t>
            </w:r>
            <w:r>
              <w:rPr>
                <w:rFonts w:hint="eastAsia" w:ascii="宋体" w:hAnsi="宋体" w:cs="宋体"/>
                <w:color w:val="auto"/>
                <w:sz w:val="24"/>
                <w:highlight w:val="none"/>
                <w:lang w:val="en-US" w:eastAsia="zh-CN" w:bidi="ar"/>
              </w:rPr>
              <w:t xml:space="preserve">合理且</w:t>
            </w:r>
            <w:r>
              <w:rPr>
                <w:rFonts w:hint="eastAsia" w:ascii="宋体" w:hAnsi="宋体" w:cs="宋体"/>
                <w:color w:val="auto"/>
                <w:sz w:val="24"/>
                <w:highlight w:val="none"/>
                <w:lang w:bidi="ar"/>
              </w:rPr>
              <w:t xml:space="preserve">完全满足项目需求的得</w:t>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分，</w:t>
            </w:r>
            <w:r>
              <w:rPr>
                <w:rFonts w:hint="eastAsia" w:ascii="宋体" w:hAnsi="宋体" w:cs="宋体"/>
                <w:color w:val="auto"/>
                <w:sz w:val="24"/>
                <w:szCs w:val="24"/>
                <w:highlight w:val="none"/>
                <w:lang w:val="en-US" w:eastAsia="zh-CN"/>
              </w:rPr>
              <w:t xml:space="preserve">方案合理</w:t>
            </w:r>
            <w:r>
              <w:rPr>
                <w:rFonts w:hint="eastAsia" w:ascii="宋体" w:hAnsi="宋体" w:eastAsia="宋体" w:cs="宋体"/>
                <w:color w:val="auto"/>
                <w:sz w:val="24"/>
                <w:szCs w:val="24"/>
                <w:highlight w:val="none"/>
                <w:lang w:val="en-US" w:eastAsia="zh-CN"/>
              </w:rPr>
              <w:t xml:space="preserve">部分满足</w:t>
            </w:r>
            <w:r>
              <w:rPr>
                <w:rFonts w:hint="eastAsia" w:ascii="宋体" w:hAnsi="宋体" w:eastAsia="宋体" w:cs="宋体"/>
                <w:color w:val="auto"/>
                <w:sz w:val="24"/>
                <w:szCs w:val="24"/>
                <w:highlight w:val="none"/>
                <w:lang w:eastAsia="zh-CN"/>
              </w:rPr>
              <w:t xml:space="preserve">项目需求</w:t>
            </w:r>
            <w:r>
              <w:rPr>
                <w:rFonts w:hint="eastAsia" w:ascii="宋体" w:hAnsi="宋体" w:cs="宋体"/>
                <w:color w:val="auto"/>
                <w:sz w:val="24"/>
                <w:highlight w:val="none"/>
                <w:lang w:bidi="ar"/>
              </w:rPr>
              <w:t xml:space="preserve">得</w:t>
            </w:r>
            <w:r>
              <w:rPr>
                <w:rFonts w:hint="eastAsia" w:ascii="宋体" w:hAnsi="宋体" w:cs="宋体"/>
                <w:color w:val="auto"/>
                <w:sz w:val="24"/>
                <w:highlight w:val="none"/>
                <w:lang w:val="en-US" w:eastAsia="zh-CN" w:bidi="ar"/>
              </w:rPr>
              <w:t xml:space="preserve">4.2</w:t>
            </w:r>
            <w:r>
              <w:rPr>
                <w:rFonts w:hint="eastAsia" w:ascii="宋体" w:hAnsi="宋体" w:cs="宋体"/>
                <w:color w:val="auto"/>
                <w:sz w:val="24"/>
                <w:highlight w:val="none"/>
                <w:lang w:bidi="ar"/>
              </w:rPr>
              <w:t xml:space="preserve">分，</w:t>
            </w:r>
            <w:r>
              <w:rPr>
                <w:rFonts w:hint="eastAsia" w:ascii="宋体" w:hAnsi="宋体" w:cs="宋体"/>
                <w:color w:val="auto"/>
                <w:sz w:val="24"/>
                <w:highlight w:val="none"/>
                <w:lang w:val="en-US" w:eastAsia="zh-CN" w:bidi="ar"/>
              </w:rPr>
              <w:t xml:space="preserve">方案不适用本</w:t>
            </w:r>
            <w:r>
              <w:rPr>
                <w:rFonts w:hint="eastAsia" w:ascii="宋体" w:hAnsi="宋体" w:cs="宋体"/>
                <w:color w:val="auto"/>
                <w:sz w:val="24"/>
                <w:highlight w:val="none"/>
                <w:lang w:eastAsia="zh-CN" w:bidi="ar"/>
              </w:rPr>
              <w:t xml:space="preserve">项目、</w:t>
            </w:r>
            <w:r>
              <w:rPr>
                <w:rFonts w:hint="eastAsia" w:ascii="宋体" w:hAnsi="宋体" w:cs="宋体"/>
                <w:color w:val="auto"/>
                <w:sz w:val="24"/>
                <w:highlight w:val="none"/>
                <w:lang w:val="en-US" w:eastAsia="zh-CN" w:bidi="ar"/>
              </w:rPr>
              <w:t xml:space="preserve">不合理、</w:t>
            </w:r>
            <w:r>
              <w:rPr>
                <w:rFonts w:hint="eastAsia" w:ascii="宋体" w:hAnsi="宋体" w:cs="宋体"/>
                <w:color w:val="auto"/>
                <w:sz w:val="24"/>
                <w:highlight w:val="none"/>
                <w:lang w:bidi="ar"/>
              </w:rPr>
              <w:t xml:space="preserve">不提供不得分。</w:t>
            </w:r>
            <w:r/>
          </w:p>
        </w:tc>
      </w:tr>
      <w:tr>
        <w:trPr>
          <w:trHeight w:val="720"/>
        </w:trPr>
        <w:tc>
          <w:tcPr>
            <w:tcBorders>
              <w:left w:val="single" w:color="auto" w:sz="4" w:space="0"/>
              <w:bottom w:val="single" w:color="auto" w:sz="6"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1538" w:type="dxa"/>
            <w:vAlign w:val="center"/>
            <w:textDirection w:val="lrTb"/>
            <w:noWrap w:val="false"/>
          </w:tcPr>
          <w:p>
            <w:pPr>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业绩</w:t>
            </w:r>
            <w:r/>
          </w:p>
        </w:tc>
        <w:tc>
          <w:tcPr>
            <w:gridSpan w:val="2"/>
            <w:tcBorders>
              <w:top w:val="single" w:color="auto" w:sz="6" w:space="0"/>
              <w:left w:val="single" w:color="auto" w:sz="6" w:space="0"/>
              <w:bottom w:val="single" w:color="auto" w:sz="6" w:space="0"/>
              <w:right w:val="single" w:color="auto" w:sz="6" w:space="0"/>
            </w:tcBorders>
            <w:tcW w:w="6622" w:type="dxa"/>
            <w:vAlign w:val="center"/>
            <w:textDirection w:val="lrTb"/>
            <w:noWrap w:val="false"/>
          </w:tcPr>
          <w:p>
            <w:pPr>
              <w:rPr>
                <w:rFonts w:hint="eastAsia" w:ascii="宋体" w:hAnsi="宋体" w:cs="宋体"/>
                <w:color w:val="auto"/>
                <w:sz w:val="24"/>
                <w:highlight w:val="none"/>
                <w:lang w:val="en-US" w:eastAsia="zh-CN" w:bidi="ar"/>
              </w:rPr>
            </w:pP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完成过类似</w:t>
            </w:r>
            <w:bookmarkStart w:id="773" w:name="_GoBack"/>
            <w:r/>
            <w:bookmarkEnd w:id="773"/>
            <w:r>
              <w:rPr>
                <w:rFonts w:hint="eastAsia" w:ascii="宋体" w:hAnsi="宋体"/>
                <w:color w:val="auto"/>
                <w:sz w:val="24"/>
                <w:highlight w:val="none"/>
              </w:rPr>
              <w:t xml:space="preserve">项目的每有一个得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分，最多得</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分。须提供中标通知书、施工合同和竣工验收证明，缺一不可，否则不得分（提供复印件，原件备查）。</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商务</w:t>
      </w:r>
      <w:r>
        <w:rPr>
          <w:rFonts w:hint="eastAsia" w:ascii="宋体" w:hAnsi="宋体" w:eastAsia="宋体" w:cs="宋体"/>
          <w:bCs/>
          <w:color w:val="auto"/>
          <w:sz w:val="24"/>
          <w:szCs w:val="24"/>
          <w:highlight w:val="none"/>
        </w:rPr>
        <w:t xml:space="preserve">技术标评审时，</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分别对每个有效</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的标书进行评价、打分。技术分按算术平均值计算。分值四舍五入，保留小数点后两位。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注：①请供应商对“评分标准表”中的所有打分项逐一响应并提供证明文件。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②供应商制作磋商响应文件时保证图片、文字材料的完整、清晰可辨，任何原因导致评委看不清楚或无法查看，后果由供应商自负。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③</w:t>
      </w:r>
      <w:r>
        <w:rPr>
          <w:rFonts w:hint="eastAsia" w:ascii="宋体" w:hAnsi="宋体" w:eastAsia="宋体" w:cs="宋体"/>
          <w:b/>
          <w:bCs/>
          <w:color w:val="auto"/>
          <w:sz w:val="24"/>
          <w:highlight w:val="none"/>
          <w:u w:val="none"/>
        </w:rPr>
        <w:t xml:space="preserve">供应商应依照规定提交各类证书</w:t>
      </w:r>
      <w:r>
        <w:rPr>
          <w:rFonts w:hint="eastAsia" w:ascii="宋体" w:hAnsi="宋体" w:eastAsia="宋体" w:cs="宋体"/>
          <w:b/>
          <w:bCs/>
          <w:color w:val="auto"/>
          <w:sz w:val="24"/>
          <w:highlight w:val="none"/>
          <w:u w:val="none"/>
          <w:lang w:val="en-US" w:eastAsia="zh-CN"/>
        </w:rPr>
        <w:t xml:space="preserve">扫描</w:t>
      </w:r>
      <w:r>
        <w:rPr>
          <w:rFonts w:hint="eastAsia" w:ascii="宋体" w:hAnsi="宋体" w:eastAsia="宋体" w:cs="宋体"/>
          <w:b/>
          <w:bCs/>
          <w:color w:val="auto"/>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auto"/>
          <w:sz w:val="24"/>
          <w:highlight w:val="none"/>
          <w:u w:val="none"/>
        </w:rPr>
        <w:t xml:space="preserve">。</w:t>
      </w:r>
      <w:r/>
    </w:p>
    <w:p>
      <w:pPr>
        <w:pStyle w:val="978"/>
        <w:ind w:firstLine="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（四）价格标部分（</w:t>
      </w:r>
      <w:r>
        <w:rPr>
          <w:rFonts w:hint="eastAsia" w:cs="Times New Roman"/>
          <w:b/>
          <w:bCs/>
          <w:color w:val="auto"/>
          <w:sz w:val="24"/>
          <w:szCs w:val="24"/>
          <w:highlight w:val="none"/>
          <w:lang w:val="en-US" w:eastAsia="zh-CN" w:bidi="ar-SA"/>
        </w:rPr>
        <w:t xml:space="preserve">60</w:t>
      </w:r>
      <w:r>
        <w:rPr>
          <w:rFonts w:hint="eastAsia" w:ascii="宋体" w:hAnsi="宋体" w:eastAsia="宋体" w:cs="Times New Roman"/>
          <w:b/>
          <w:bCs/>
          <w:color w:val="auto"/>
          <w:sz w:val="24"/>
          <w:szCs w:val="24"/>
          <w:highlight w:val="none"/>
          <w:lang w:val="en-US" w:eastAsia="zh-CN" w:bidi="ar-SA"/>
        </w:rPr>
        <w:t xml:space="preserve">分）</w:t>
      </w:r>
      <w:r/>
    </w:p>
    <w:tbl>
      <w:tblPr>
        <w:tblStyle w:val="953"/>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评标内容</w:t>
            </w:r>
            <w:r/>
          </w:p>
        </w:tc>
        <w:tc>
          <w:tcPr>
            <w:tcW w:w="69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780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trHeight w:val="1635"/>
        </w:trPr>
        <w:tc>
          <w:tcPr>
            <w:tcW w:w="1115" w:type="dxa"/>
            <w:vAlign w:val="center"/>
            <w:textDirection w:val="lrTb"/>
            <w:noWrap w:val="false"/>
          </w:tcPr>
          <w:p>
            <w:pPr>
              <w:spacing w:line="4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价格</w:t>
            </w:r>
            <w:r>
              <w:rPr>
                <w:rFonts w:hint="eastAsia" w:ascii="宋体" w:hAnsi="宋体" w:cs="宋体"/>
                <w:color w:val="auto"/>
                <w:sz w:val="24"/>
                <w:szCs w:val="24"/>
                <w:highlight w:val="none"/>
              </w:rPr>
              <w:t xml:space="preserve">标得分</w:t>
            </w:r>
            <w:r>
              <w:rPr>
                <w:rFonts w:hint="eastAsia" w:ascii="宋体" w:hAnsi="宋体" w:cs="宋体"/>
                <w:color w:val="auto"/>
                <w:sz w:val="24"/>
                <w:szCs w:val="24"/>
                <w:highlight w:val="none"/>
                <w:lang w:val="en-US" w:eastAsia="zh-CN"/>
              </w:rPr>
              <w:t xml:space="preserve"> </w:t>
            </w:r>
            <w:r/>
          </w:p>
        </w:tc>
        <w:tc>
          <w:tcPr>
            <w:tcW w:w="690" w:type="dxa"/>
            <w:vAlign w:val="center"/>
            <w:textDirection w:val="lrTb"/>
            <w:noWrap w:val="false"/>
          </w:tcPr>
          <w:p>
            <w:pPr>
              <w:jc w:val="center"/>
              <w:spacing w:line="4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7800" w:type="dxa"/>
            <w:vAlign w:val="center"/>
            <w:textDirection w:val="lrTb"/>
            <w:noWrap w:val="false"/>
          </w:tcPr>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价格权值</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w:t>
            </w:r>
            <w:r>
              <w:rPr>
                <w:rFonts w:hint="eastAsia" w:ascii="宋体" w:hAnsi="宋体" w:cs="宋体"/>
                <w:color w:val="auto"/>
                <w:sz w:val="24"/>
                <w:szCs w:val="24"/>
                <w:highlight w:val="none"/>
              </w:rPr>
              <w:t xml:space="preserve">（分值四舍五入，保留小数点后两位）</w:t>
            </w:r>
            <w:r/>
          </w:p>
        </w:tc>
      </w:tr>
    </w:tbl>
    <w:p>
      <w:pPr>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政府采购政策功能落实</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本项目专门面向中小企业采购，</w:t>
      </w:r>
      <w:r>
        <w:rPr>
          <w:rFonts w:hint="eastAsia" w:ascii="宋体" w:hAnsi="宋体" w:eastAsia="宋体" w:cs="宋体"/>
          <w:b/>
          <w:bCs/>
          <w:color w:val="auto"/>
          <w:sz w:val="24"/>
          <w:szCs w:val="24"/>
          <w:highlight w:val="none"/>
          <w:lang w:val="en-US" w:eastAsia="zh-CN"/>
        </w:rPr>
        <w:t xml:space="preserve">不再执行价格评审优惠的扶持政策</w:t>
      </w:r>
      <w:r>
        <w:rPr>
          <w:rFonts w:hint="eastAsia" w:ascii="宋体" w:hAnsi="宋体" w:eastAsia="宋体" w:cs="宋体"/>
          <w:b/>
          <w:bCs/>
          <w:color w:val="auto"/>
          <w:sz w:val="24"/>
          <w:szCs w:val="24"/>
          <w:highlight w:val="none"/>
          <w:lang w:val="en-US" w:eastAsia="zh-CN" w:bidi="ar"/>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供应商提供的货物、工程或者服务符合下列情形的，享受本办法规定的中小企业扶持政策：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（一）在货物采购项目中，货物由中小企业制造，即货物由中小企业生产且使用该中小企业商号或者注册商标；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（二）在工程采购项目中，工程由中小企业承建，即工程施工单位为中小企业；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残疾人福利性单位</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监狱企业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firstLine="480"/>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根据规定，在政府采购活动中，其他视同小型、微型企业的，参照本条执行。</w:t>
      </w:r>
      <w:r/>
    </w:p>
    <w:p>
      <w:pPr>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bCs/>
          <w:color w:val="auto"/>
          <w:sz w:val="24"/>
          <w:highlight w:val="none"/>
          <w:lang w:eastAsia="zh-CN"/>
        </w:rPr>
        <w:t xml:space="preserve">三、</w:t>
      </w:r>
      <w:r>
        <w:rPr>
          <w:rFonts w:hint="default" w:ascii="宋体" w:hAnsi="宋体" w:eastAsia="宋体" w:cs="宋体"/>
          <w:b/>
          <w:bCs/>
          <w:color w:val="auto"/>
          <w:sz w:val="24"/>
          <w:highlight w:val="none"/>
          <w:u w:val="none"/>
          <w:lang w:val="en-US" w:eastAsia="zh-CN"/>
        </w:rPr>
        <w:t xml:space="preserve">政府采购异常低价审查的</w:t>
      </w:r>
      <w:r>
        <w:rPr>
          <w:rFonts w:hint="eastAsia" w:ascii="宋体" w:hAnsi="宋体" w:eastAsia="宋体" w:cs="宋体"/>
          <w:b/>
          <w:bCs/>
          <w:color w:val="auto"/>
          <w:sz w:val="24"/>
          <w:highlight w:val="none"/>
          <w:u w:val="none"/>
          <w:lang w:val="en-US" w:eastAsia="zh-CN"/>
        </w:rPr>
        <w:t xml:space="preserve">实施</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1.</w:t>
      </w:r>
      <w:r>
        <w:rPr>
          <w:rFonts w:hint="default" w:ascii="宋体" w:hAnsi="宋体" w:eastAsia="宋体" w:cs="宋体"/>
          <w:b w:val="0"/>
          <w:bCs w:val="0"/>
          <w:color w:val="auto"/>
          <w:sz w:val="24"/>
          <w:highlight w:val="none"/>
          <w:u w:val="none"/>
          <w:lang w:val="en-US" w:eastAsia="zh-CN"/>
        </w:rPr>
        <w:t xml:space="preserve">评审过程中出现下列情形之一的，</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应当启动异常低价投标（响应）审查程序：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（3）投标（响应）报价低于采购项目最高限价65%的，即投标（响应）报价&lt;采购项目最高限价×65%；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（4）评审委员会基于专业判断，认定供应商报价过低，有可能影响产品质量或者不能诚信履约的其他情形。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auto"/>
          <w:sz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auto"/>
          <w:sz w:val="24"/>
          <w:highlight w:val="none"/>
          <w:u w:val="none"/>
          <w:lang w:val="en-US" w:eastAsia="zh-CN"/>
        </w:rPr>
        <w:t xml:space="preserve">。</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7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cs="宋体"/>
          <w:b w:val="0"/>
          <w:bCs w:val="0"/>
          <w:color w:val="auto"/>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default" w:ascii="宋体" w:hAnsi="宋体" w:eastAsia="宋体" w:cs="宋体"/>
          <w:b w:val="0"/>
          <w:bCs w:val="0"/>
          <w:color w:val="auto"/>
          <w:sz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成交供应商</w:t>
      </w:r>
      <w:r>
        <w:rPr>
          <w:rFonts w:hint="eastAsia" w:ascii="宋体" w:hAnsi="宋体" w:eastAsia="宋体" w:cs="宋体"/>
          <w:b/>
          <w:bCs/>
          <w:color w:val="auto"/>
          <w:sz w:val="24"/>
          <w:highlight w:val="none"/>
        </w:rPr>
        <w:t xml:space="preserve">的确定</w:t>
      </w:r>
      <w:r/>
    </w:p>
    <w:p>
      <w:pPr>
        <w:ind w:left="0" w:firstLine="480"/>
        <w:keepLines w:val="0"/>
        <w:keepNext w:val="0"/>
        <w:pageBreakBefore w:val="0"/>
        <w:spacing w:line="360" w:lineRule="auto"/>
        <w:rPr>
          <w:rFonts w:hint="eastAsia" w:ascii="宋体" w:hAnsi="宋体" w:eastAsia="宋体" w:cs="宋体"/>
          <w:b w:val="0"/>
          <w:bCs w:val="0"/>
          <w:color w:val="auto"/>
          <w:sz w:val="24"/>
          <w:highlight w:val="none"/>
          <w:u w:val="none"/>
          <w:lang w:val="zh-CN" w:eastAsia="zh-CN"/>
        </w:rPr>
        <w:outlineLvl w:val="9"/>
      </w:pPr>
      <w:r>
        <w:rPr>
          <w:rFonts w:hint="eastAsia" w:ascii="宋体" w:hAnsi="宋体" w:eastAsia="宋体" w:cs="宋体"/>
          <w:color w:val="auto"/>
          <w:sz w:val="24"/>
          <w:highlight w:val="none"/>
          <w:lang w:val="zh-CN"/>
        </w:rPr>
        <w:t xml:space="preserve">磋商小组根据综合评分</w:t>
      </w:r>
      <w:r>
        <w:rPr>
          <w:rFonts w:hint="eastAsia" w:ascii="宋体" w:hAnsi="宋体" w:eastAsia="宋体" w:cs="宋体"/>
          <w:b w:val="0"/>
          <w:bCs w:val="0"/>
          <w:color w:val="auto"/>
          <w:sz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auto"/>
          <w:sz w:val="24"/>
          <w:highlight w:val="none"/>
          <w:u w:val="none"/>
          <w:lang w:val="zh-CN" w:eastAsia="zh-CN"/>
        </w:rPr>
        <w:t xml:space="preserve">。</w:t>
      </w:r>
      <w:r/>
    </w:p>
    <w:p>
      <w:pPr>
        <w:ind w:firstLine="573"/>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采购人委托磋商小组直接确定排名第一的成交候选人为成交供应商。</w:t>
      </w:r>
      <w:r/>
    </w:p>
    <w:p>
      <w:pPr>
        <w:ind w:firstLine="573"/>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bCs w:val="0"/>
          <w:color w:val="auto"/>
          <w:sz w:val="24"/>
          <w:szCs w:val="24"/>
          <w:lang w:val="en-US" w:eastAsia="zh-CN"/>
        </w:rPr>
        <w:t xml:space="preserve">供应商可自行选择其中任意一个或多个包响应，但按采购包开评标顺序（包1→包2）确定成交人，供应商在两个采购包中只限成交一个采购包。如已成交包1的成交人参与包2的评标如仍为第一成交候选人，则包2成交人由第二成交候选人替补。</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五</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公告成交结果</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自确定成交供应商之日起2个工作日内，在江苏政府采购网公告成交结果，公告期限为1个工作日。</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六</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发放成交通知书</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公告成交结果的同时，</w:t>
      </w:r>
      <w:r>
        <w:rPr>
          <w:rFonts w:hint="eastAsia" w:ascii="宋体" w:hAnsi="宋体" w:eastAsia="宋体" w:cs="宋体"/>
          <w:b w:val="0"/>
          <w:bCs w:val="0"/>
          <w:color w:val="auto"/>
          <w:sz w:val="24"/>
          <w:highlight w:val="none"/>
          <w:u w:val="none"/>
          <w:lang w:val="zh-CN" w:eastAsia="zh-CN"/>
        </w:rPr>
        <w:t xml:space="preserve">交易中心</w:t>
      </w:r>
      <w:r>
        <w:rPr>
          <w:rFonts w:hint="eastAsia" w:ascii="宋体" w:hAnsi="宋体" w:eastAsia="宋体" w:cs="宋体"/>
          <w:b w:val="0"/>
          <w:bCs w:val="0"/>
          <w:color w:val="auto"/>
          <w:sz w:val="24"/>
          <w:highlight w:val="none"/>
          <w:u w:val="none"/>
          <w:lang w:val="zh-CN"/>
        </w:rPr>
        <w:t xml:space="preserve">向成交供应商发放成交通知书。</w:t>
      </w:r>
      <w:r/>
    </w:p>
    <w:p>
      <w:pPr>
        <w:ind w:firstLine="570"/>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auto"/>
          <w:sz w:val="24"/>
          <w:highlight w:val="none"/>
          <w:u w:val="none"/>
          <w:lang w:val="zh-CN"/>
        </w:rPr>
        <w:t xml:space="preserve">成交供应商领取成交通知书时须提供</w:t>
      </w:r>
      <w:r>
        <w:rPr>
          <w:rFonts w:hint="eastAsia" w:ascii="宋体" w:hAnsi="宋体" w:cs="宋体"/>
          <w:b/>
          <w:bCs/>
          <w:color w:val="auto"/>
          <w:sz w:val="24"/>
          <w:highlight w:val="none"/>
          <w:u w:val="none"/>
          <w:lang w:val="en-US" w:eastAsia="zh-CN"/>
        </w:rPr>
        <w:t xml:space="preserve">叁</w:t>
      </w:r>
      <w:r>
        <w:rPr>
          <w:rFonts w:hint="eastAsia" w:ascii="宋体" w:hAnsi="宋体" w:eastAsia="宋体" w:cs="宋体"/>
          <w:b/>
          <w:bCs/>
          <w:color w:val="auto"/>
          <w:sz w:val="24"/>
          <w:highlight w:val="none"/>
          <w:u w:val="none"/>
          <w:lang w:val="zh-CN"/>
        </w:rPr>
        <w:t xml:space="preserve">份纸质版响应文件及</w:t>
      </w:r>
      <w:r>
        <w:rPr>
          <w:rFonts w:hint="eastAsia" w:ascii="宋体" w:hAnsi="宋体" w:cs="宋体"/>
          <w:b/>
          <w:bCs/>
          <w:color w:val="auto"/>
          <w:sz w:val="24"/>
          <w:highlight w:val="none"/>
          <w:u w:val="none"/>
          <w:lang w:val="en-US" w:eastAsia="zh-CN"/>
        </w:rPr>
        <w:t xml:space="preserve">一</w:t>
      </w:r>
      <w:r>
        <w:rPr>
          <w:rFonts w:hint="eastAsia" w:ascii="宋体" w:hAnsi="宋体" w:eastAsia="宋体" w:cs="宋体"/>
          <w:b/>
          <w:bCs/>
          <w:color w:val="auto"/>
          <w:sz w:val="24"/>
          <w:highlight w:val="none"/>
          <w:u w:val="none"/>
          <w:lang w:val="zh-CN"/>
        </w:rPr>
        <w:t xml:space="preserve">份响应文件电子扫描件至代理机构处。</w:t>
      </w:r>
      <w:bookmarkEnd w:id="749"/>
      <w:bookmarkEnd w:id="750"/>
      <w:bookmarkEnd w:id="764"/>
      <w:r/>
    </w:p>
    <w:p>
      <w:pPr>
        <w:pStyle w:val="954"/>
        <w:rPr>
          <w:rFonts w:hint="eastAsia"/>
          <w:color w:val="auto"/>
          <w:highlight w:val="none"/>
        </w:rPr>
      </w:pPr>
      <w:r>
        <w:rPr>
          <w:rFonts w:hint="eastAsia"/>
          <w:color w:val="auto"/>
          <w:highlight w:val="none"/>
        </w:rPr>
      </w:r>
      <w:r/>
    </w:p>
    <w:p>
      <w:pPr>
        <w:numPr>
          <w:ilvl w:val="0"/>
          <w:numId w:val="0"/>
        </w:numPr>
        <w:jc w:val="center"/>
        <w:keepNext/>
        <w:rPr>
          <w:rFonts w:hint="eastAsia" w:ascii="黑体" w:eastAsia="黑体"/>
          <w:bCs/>
          <w:color w:val="auto"/>
          <w:sz w:val="44"/>
          <w:szCs w:val="28"/>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eastAsia="黑体"/>
          <w:bCs/>
          <w:color w:val="auto"/>
          <w:sz w:val="44"/>
          <w:szCs w:val="28"/>
          <w:highlight w:val="none"/>
          <w:lang w:val="en-US" w:eastAsia="zh-CN"/>
        </w:rPr>
      </w:r>
      <w:r/>
    </w:p>
    <w:p>
      <w:pPr>
        <w:numPr>
          <w:ilvl w:val="0"/>
          <w:numId w:val="0"/>
        </w:numPr>
        <w:jc w:val="center"/>
        <w:keepNext/>
        <w:rPr>
          <w:rFonts w:hint="eastAsia" w:ascii="黑体" w:hAnsi="Times New Roman" w:eastAsia="黑体"/>
          <w:bCs/>
          <w:color w:val="auto"/>
          <w:sz w:val="44"/>
          <w:szCs w:val="28"/>
          <w:highlight w:val="none"/>
        </w:rPr>
        <w:outlineLvl w:val="0"/>
      </w:pPr>
      <w:r>
        <w:rPr>
          <w:rFonts w:hint="eastAsia" w:ascii="黑体" w:eastAsia="黑体"/>
          <w:bCs/>
          <w:color w:val="auto"/>
          <w:sz w:val="44"/>
          <w:szCs w:val="28"/>
          <w:highlight w:val="none"/>
          <w:lang w:val="en-US" w:eastAsia="zh-CN"/>
        </w:rPr>
        <w:t xml:space="preserve">第六章  </w:t>
      </w:r>
      <w:r>
        <w:rPr>
          <w:rFonts w:hint="eastAsia" w:ascii="黑体" w:hAnsi="Times New Roman" w:eastAsia="黑体"/>
          <w:bCs/>
          <w:color w:val="auto"/>
          <w:sz w:val="44"/>
          <w:szCs w:val="28"/>
          <w:highlight w:val="none"/>
        </w:rPr>
        <w:t xml:space="preserve">响应文件格式</w:t>
      </w:r>
      <w:r/>
    </w:p>
    <w:p>
      <w:pPr>
        <w:jc w:val="center"/>
        <w:rPr>
          <w:rFonts w:hint="eastAsia" w:ascii="宋体" w:hAnsi="宋体"/>
          <w:b/>
          <w:color w:val="auto"/>
          <w:sz w:val="72"/>
          <w:szCs w:val="21"/>
          <w:highlight w:val="none"/>
        </w:rPr>
      </w:pPr>
      <w:r/>
      <w:bookmarkStart w:id="768" w:name="_Hlt26671244"/>
      <w:r/>
      <w:bookmarkEnd w:id="768"/>
      <w:r/>
      <w:bookmarkStart w:id="769" w:name="_Hlt26955039"/>
      <w:r/>
      <w:bookmarkEnd w:id="769"/>
      <w:r/>
      <w:bookmarkStart w:id="770" w:name="_Toc49090576"/>
      <w:r/>
      <w:bookmarkStart w:id="771" w:name="_Toc26554094"/>
      <w:r/>
      <w:bookmarkStart w:id="772"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148"/>
        <w:rPr>
          <w:rFonts w:hint="eastAsia"/>
          <w:color w:val="auto"/>
          <w:highlight w:val="none"/>
        </w:rPr>
      </w:pPr>
      <w:r>
        <w:rPr>
          <w:rFonts w:hint="eastAsia"/>
          <w:color w:val="auto"/>
          <w:highlight w:val="none"/>
        </w:rPr>
      </w:r>
      <w:r/>
    </w:p>
    <w:p>
      <w:pPr>
        <w:jc w:val="both"/>
        <w:spacing w:line="440" w:lineRule="exact"/>
        <w:rPr>
          <w:rFonts w:hint="eastAsia" w:ascii="宋体" w:hAnsi="宋体"/>
          <w:b/>
          <w:bCs/>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auto"/>
          <w:sz w:val="32"/>
          <w:szCs w:val="32"/>
          <w:highlight w:val="none"/>
        </w:rPr>
      </w:r>
      <w:bookmarkEnd w:id="163"/>
      <w:bookmarkEnd w:id="164"/>
      <w:bookmarkEnd w:id="770"/>
      <w:bookmarkEnd w:id="771"/>
      <w:bookmarkEnd w:id="772"/>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附件1：</w:t>
      </w:r>
      <w:r/>
    </w:p>
    <w:p>
      <w:pPr>
        <w:pStyle w:val="944"/>
        <w:jc w:val="center"/>
        <w:keepLines w:val="0"/>
        <w:keepNext w:val="0"/>
        <w:widowControl/>
        <w:rPr>
          <w:color w:val="auto"/>
          <w:highlight w:val="none"/>
        </w:rPr>
        <w:suppressLineNumbers w:val="0"/>
      </w:pPr>
      <w:r>
        <w:rPr>
          <w:rStyle w:val="980"/>
          <w:color w:val="auto"/>
          <w:highlight w:val="none"/>
        </w:rPr>
        <w:t xml:space="preserve">磋商报价表</w:t>
      </w:r>
      <w:r/>
    </w:p>
    <w:p>
      <w:pPr>
        <w:pStyle w:val="976"/>
        <w:keepLines w:val="0"/>
        <w:keepNext w:val="0"/>
        <w:widowControl/>
        <w:rPr>
          <w:color w:val="auto"/>
          <w:highlight w:val="none"/>
        </w:rPr>
        <w:suppressLineNumbers w:val="0"/>
      </w:pPr>
      <w:r>
        <w:rPr>
          <w:color w:val="auto"/>
          <w:highlight w:val="none"/>
        </w:rPr>
        <w:t xml:space="preserve">本次为首次报价                                  货币单位：人民币元</w:t>
      </w:r>
      <w:r/>
    </w:p>
    <w:p>
      <w:pPr>
        <w:pStyle w:val="976"/>
        <w:keepLines w:val="0"/>
        <w:keepNext w:val="0"/>
        <w:widowControl/>
        <w:rPr>
          <w:color w:val="auto"/>
          <w:highlight w:val="none"/>
        </w:rPr>
        <w:suppressLineNumbers w:val="0"/>
      </w:pPr>
      <w:r>
        <w:rPr>
          <w:color w:val="auto"/>
          <w:highlight w:val="none"/>
        </w:rPr>
        <w:t xml:space="preserve">项目编号：项目编号  </w:t>
      </w:r>
      <w:r/>
    </w:p>
    <w:tbl>
      <w:tblPr>
        <w:tblStyle w:val="95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shd w:val="clear" w:color="auto" w:fill="auto"/>
            <w:tcW w:w="3330" w:type="dxa"/>
            <w:vAlign w:val="center"/>
            <w:textDirection w:val="lrTb"/>
            <w:noWrap w:val="false"/>
          </w:tcPr>
          <w:p>
            <w:pPr>
              <w:pStyle w:val="976"/>
              <w:keepLines w:val="0"/>
              <w:keepNext w:val="0"/>
              <w:widowControl/>
              <w:rPr>
                <w:color w:val="auto"/>
                <w:highlight w:val="none"/>
              </w:rPr>
              <w:suppressLineNumbers w:val="0"/>
            </w:pPr>
            <w:r>
              <w:rPr>
                <w:color w:val="auto"/>
                <w:highlight w:val="none"/>
              </w:rPr>
              <w:t xml:space="preserve">项目名称</w:t>
            </w:r>
            <w:r/>
          </w:p>
        </w:tc>
        <w:tc>
          <w:tcPr>
            <w:shd w:val="clear" w:color="auto" w:fill="auto"/>
            <w:tcW w:w="3345" w:type="dxa"/>
            <w:vAlign w:val="center"/>
            <w:textDirection w:val="lrTb"/>
            <w:noWrap w:val="false"/>
          </w:tcPr>
          <w:p>
            <w:pPr>
              <w:pStyle w:val="976"/>
              <w:keepLines w:val="0"/>
              <w:keepNext w:val="0"/>
              <w:widowControl/>
              <w:rPr>
                <w:color w:val="auto"/>
                <w:highlight w:val="none"/>
              </w:rPr>
              <w:suppressLineNumbers w:val="0"/>
            </w:pPr>
            <w:r>
              <w:rPr>
                <w:color w:val="auto"/>
                <w:highlight w:val="none"/>
              </w:rPr>
              <w:t xml:space="preserve">项目内容</w:t>
            </w:r>
            <w:r/>
          </w:p>
        </w:tc>
        <w:tc>
          <w:tcPr>
            <w:shd w:val="clear" w:color="auto" w:fill="auto"/>
            <w:tcW w:w="4980" w:type="dxa"/>
            <w:vAlign w:val="center"/>
            <w:textDirection w:val="lrTb"/>
            <w:noWrap w:val="false"/>
          </w:tcPr>
          <w:p>
            <w:pPr>
              <w:pStyle w:val="976"/>
              <w:keepLines w:val="0"/>
              <w:keepNext w:val="0"/>
              <w:widowControl/>
              <w:rPr>
                <w:color w:val="auto"/>
                <w:highlight w:val="none"/>
              </w:rPr>
              <w:suppressLineNumbers w:val="0"/>
            </w:pPr>
            <w:r>
              <w:rPr>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976"/>
              <w:keepLines w:val="0"/>
              <w:keepNext w:val="0"/>
              <w:widowControl/>
              <w:rPr>
                <w:color w:val="auto"/>
                <w:highlight w:val="none"/>
              </w:rPr>
              <w:suppressLineNumbers w:val="0"/>
            </w:pPr>
            <w:r>
              <w:rPr>
                <w:color w:val="auto"/>
                <w:highlight w:val="none"/>
              </w:rPr>
              <w:t xml:space="preserve">项目名称  </w:t>
            </w:r>
            <w:r/>
          </w:p>
        </w:tc>
        <w:tc>
          <w:tcPr>
            <w:shd w:val="clear" w:color="auto" w:fill="auto"/>
            <w:tcW w:w="3345" w:type="dxa"/>
            <w:vAlign w:val="center"/>
            <w:textDirection w:val="lrTb"/>
            <w:noWrap w:val="false"/>
          </w:tcPr>
          <w:p>
            <w:pPr>
              <w:pStyle w:val="976"/>
              <w:keepLines w:val="0"/>
              <w:keepNext w:val="0"/>
              <w:widowControl/>
              <w:rPr>
                <w:color w:val="auto"/>
                <w:highlight w:val="none"/>
              </w:rPr>
              <w:suppressLineNumbers w:val="0"/>
            </w:pPr>
            <w:r>
              <w:rPr>
                <w:color w:val="auto"/>
                <w:highlight w:val="none"/>
              </w:rPr>
              <w:t xml:space="preserve">详见响应文件</w:t>
            </w:r>
            <w:r/>
          </w:p>
        </w:tc>
        <w:tc>
          <w:tcPr>
            <w:shd w:val="clear" w:color="auto" w:fill="auto"/>
            <w:tcW w:w="4980" w:type="dxa"/>
            <w:vAlign w:val="center"/>
            <w:textDirection w:val="lrTb"/>
            <w:noWrap w:val="false"/>
          </w:tcPr>
          <w:p>
            <w:pPr>
              <w:pStyle w:val="976"/>
              <w:keepLines w:val="0"/>
              <w:keepNext w:val="0"/>
              <w:widowControl/>
              <w:rPr>
                <w:color w:val="auto"/>
                <w:highlight w:val="none"/>
              </w:rPr>
              <w:suppressLineNumbers w:val="0"/>
            </w:pPr>
            <w:r>
              <w:rPr>
                <w:color w:val="auto"/>
                <w:highlight w:val="none"/>
              </w:rPr>
              <w:t xml:space="preserve"> </w:t>
            </w:r>
            <w:r>
              <w:rPr>
                <w:rFonts w:hint="eastAsia"/>
                <w:color w:val="auto"/>
                <w:highlight w:val="none"/>
                <w:lang w:val="en-US" w:eastAsia="zh-CN"/>
              </w:rPr>
              <w:t xml:space="preserve">       </w:t>
            </w:r>
            <w:r>
              <w:rPr>
                <w:color w:val="auto"/>
                <w:highlight w:val="none"/>
              </w:rPr>
              <w:t xml:space="preserve">元</w:t>
            </w:r>
            <w:r/>
          </w:p>
        </w:tc>
      </w:tr>
      <w:tr>
        <w:trPr>
          <w:tblCellSpacing w:w="15" w:type="dxa"/>
        </w:trPr>
        <w:tc>
          <w:tcPr>
            <w:shd w:val="clear" w:color="auto" w:fill="auto"/>
            <w:tcW w:w="3330" w:type="dxa"/>
            <w:vAlign w:val="center"/>
            <w:textDirection w:val="lrTb"/>
            <w:noWrap w:val="false"/>
          </w:tcPr>
          <w:p>
            <w:pPr>
              <w:pStyle w:val="976"/>
              <w:keepLines w:val="0"/>
              <w:keepNext w:val="0"/>
              <w:widowControl/>
              <w:rPr>
                <w:color w:val="auto"/>
                <w:highlight w:val="none"/>
              </w:rPr>
              <w:suppressLineNumbers w:val="0"/>
            </w:pPr>
            <w:r>
              <w:rPr>
                <w:color w:val="auto"/>
                <w:highlight w:val="none"/>
              </w:rPr>
              <w:t xml:space="preserve">总价（大写）：</w:t>
            </w:r>
            <w:r/>
          </w:p>
        </w:tc>
        <w:tc>
          <w:tcPr>
            <w:gridSpan w:val="2"/>
            <w:shd w:val="clear" w:color="auto" w:fill="auto"/>
            <w:tcW w:w="8340" w:type="dxa"/>
            <w:vAlign w:val="center"/>
            <w:textDirection w:val="lrTb"/>
            <w:noWrap w:val="false"/>
          </w:tcPr>
          <w:p>
            <w:pPr>
              <w:pStyle w:val="976"/>
              <w:keepLines w:val="0"/>
              <w:keepNext w:val="0"/>
              <w:widowControl/>
              <w:rPr>
                <w:color w:val="auto"/>
                <w:highlight w:val="none"/>
              </w:rPr>
              <w:suppressLineNumbers w:val="0"/>
            </w:pPr>
            <w:r>
              <w:rPr>
                <w:color w:val="auto"/>
                <w:highlight w:val="none"/>
              </w:rPr>
              <w:t xml:space="preserve">金额大写 </w:t>
            </w:r>
            <w:r/>
          </w:p>
        </w:tc>
      </w:tr>
    </w:tbl>
    <w:p>
      <w:pPr>
        <w:pStyle w:val="976"/>
        <w:keepLines w:val="0"/>
        <w:keepNext w:val="0"/>
        <w:widowControl/>
        <w:rPr>
          <w:color w:val="auto"/>
          <w:highlight w:val="none"/>
        </w:rPr>
        <w:suppressLineNumbers w:val="0"/>
      </w:pPr>
      <w:r>
        <w:rPr>
          <w:color w:val="auto"/>
          <w:highlight w:val="none"/>
        </w:rPr>
        <w:t xml:space="preserve">报价说明：</w:t>
      </w:r>
      <w:r/>
    </w:p>
    <w:p>
      <w:pPr>
        <w:pStyle w:val="976"/>
        <w:keepLines w:val="0"/>
        <w:keepNext w:val="0"/>
        <w:widowControl/>
        <w:rPr>
          <w:color w:val="auto"/>
          <w:highlight w:val="none"/>
        </w:rPr>
        <w:suppressLineNumbers w:val="0"/>
      </w:pPr>
      <w:r>
        <w:rPr>
          <w:color w:val="auto"/>
          <w:highlight w:val="none"/>
        </w:rPr>
        <w:t xml:space="preserve">1、报价包括完成项目的所有费用。采购人不再支付报价以外的任何费用。</w:t>
      </w:r>
      <w:r/>
    </w:p>
    <w:p>
      <w:pPr>
        <w:pStyle w:val="976"/>
        <w:keepLines w:val="0"/>
        <w:keepNext w:val="0"/>
        <w:widowControl/>
        <w:rPr>
          <w:color w:val="auto"/>
          <w:highlight w:val="none"/>
        </w:rPr>
        <w:suppressLineNumbers w:val="0"/>
      </w:pPr>
      <w:r>
        <w:rPr>
          <w:color w:val="auto"/>
          <w:highlight w:val="none"/>
        </w:rPr>
        <w:t xml:space="preserve">2、报价以总价为准，大小写不一致以大写为准；</w:t>
      </w:r>
      <w:r/>
    </w:p>
    <w:p>
      <w:pPr>
        <w:pStyle w:val="976"/>
        <w:keepLines w:val="0"/>
        <w:keepNext w:val="0"/>
        <w:widowControl/>
        <w:rPr>
          <w:color w:val="auto"/>
          <w:highlight w:val="none"/>
        </w:rPr>
        <w:suppressLineNumbers w:val="0"/>
      </w:pPr>
      <w:r>
        <w:rPr>
          <w:color w:val="auto"/>
          <w:highlight w:val="none"/>
        </w:rPr>
        <w:t xml:space="preserve">3、偏离说明：详见《偏离表》；</w:t>
      </w:r>
      <w:r/>
    </w:p>
    <w:p>
      <w:pPr>
        <w:pStyle w:val="976"/>
        <w:keepLines w:val="0"/>
        <w:keepNext w:val="0"/>
        <w:widowControl/>
        <w:rPr>
          <w:color w:val="auto"/>
          <w:highlight w:val="none"/>
        </w:rPr>
        <w:suppressLineNumbers w:val="0"/>
      </w:pPr>
      <w:r>
        <w:rPr>
          <w:color w:val="auto"/>
          <w:highlight w:val="none"/>
        </w:rPr>
        <w:t xml:space="preserve">4、如最后报价未列明单价，则最后所报各项单价计算方法为：（最后报价/最初报价）*各项最初报价的单价。</w:t>
      </w:r>
      <w:r/>
    </w:p>
    <w:p>
      <w:pPr>
        <w:pStyle w:val="976"/>
        <w:keepLines w:val="0"/>
        <w:keepNext w:val="0"/>
        <w:widowControl/>
        <w:rPr>
          <w:color w:val="auto"/>
          <w:highlight w:val="none"/>
        </w:rPr>
        <w:suppressLineNumbers w:val="0"/>
      </w:pPr>
      <w:r>
        <w:rPr>
          <w:color w:val="auto"/>
          <w:highlight w:val="none"/>
        </w:rPr>
        <w:t xml:space="preserve">响应单位（公章）：</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auto"/>
          <w:sz w:val="24"/>
          <w:szCs w:val="21"/>
          <w:highlight w:val="none"/>
          <w:lang w:val="en-US" w:eastAsia="zh-CN"/>
        </w:rPr>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附件2：</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lang w:eastAsia="zh-CN"/>
        </w:rPr>
        <w:t xml:space="preserve">磋商人</w:t>
      </w:r>
      <w:r>
        <w:rPr>
          <w:rFonts w:hint="eastAsia" w:ascii="宋体" w:hAnsi="宋体"/>
          <w:b/>
          <w:color w:val="auto"/>
          <w:sz w:val="30"/>
          <w:szCs w:val="30"/>
          <w:highlight w:val="none"/>
        </w:rPr>
        <w:t xml:space="preserve">符合《</w:t>
      </w:r>
      <w:r>
        <w:rPr>
          <w:rFonts w:hint="eastAsia" w:ascii="宋体" w:hAnsi="宋体"/>
          <w:b/>
          <w:color w:val="auto"/>
          <w:sz w:val="30"/>
          <w:szCs w:val="30"/>
          <w:highlight w:val="none"/>
          <w:lang w:eastAsia="zh-CN"/>
        </w:rPr>
        <w:t xml:space="preserve">中华人民共和国政府采购法</w:t>
      </w:r>
      <w:r>
        <w:rPr>
          <w:rFonts w:hint="eastAsia" w:ascii="宋体" w:hAnsi="宋体"/>
          <w:b/>
          <w:color w:val="auto"/>
          <w:sz w:val="30"/>
          <w:szCs w:val="30"/>
          <w:highlight w:val="none"/>
        </w:rPr>
        <w:t xml:space="preserve">》第二十二条规定条件的声明函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24"/>
          <w:szCs w:val="21"/>
          <w:highlight w:val="none"/>
        </w:rPr>
      </w:pPr>
      <w:r>
        <w:rPr>
          <w:rFonts w:eastAsia="方正黑体_GBK"/>
          <w:color w:val="auto"/>
          <w:sz w:val="32"/>
          <w:szCs w:val="32"/>
          <w:highlight w:val="none"/>
        </w:rPr>
        <w:br w:type="page" w:clear="all"/>
      </w:r>
      <w:r/>
    </w:p>
    <w:p>
      <w:pPr>
        <w:contextualSpacing/>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3</w:t>
      </w:r>
      <w:r/>
    </w:p>
    <w:p>
      <w:pPr>
        <w:pStyle w:val="1252"/>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法定代表人身份证明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53"/>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pStyle w:val="1247"/>
        <w:rPr>
          <w:rFonts w:hint="eastAsia"/>
          <w:color w:val="auto"/>
          <w:highlight w:val="none"/>
          <w:lang w:val="zh-CN"/>
        </w:rPr>
      </w:pPr>
      <w:r>
        <w:rPr>
          <w:rFonts w:hint="eastAsia"/>
          <w:color w:val="auto"/>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4</w:t>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法定代表人授权委托书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本授权书于---年---月---日起生效。代理人无转委托权。</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被授权人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授权单位法定代表人（签字或盖章）：-----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4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w:t>
      </w:r>
      <w:r>
        <w:rPr>
          <w:rFonts w:hint="eastAsia" w:ascii="宋体" w:hAnsi="宋体" w:cs="宋体"/>
          <w:b/>
          <w:color w:val="auto"/>
          <w:sz w:val="24"/>
          <w:highlight w:val="none"/>
          <w:lang w:eastAsia="zh-CN"/>
        </w:rPr>
        <w:t xml:space="preserve">磋商</w:t>
      </w:r>
      <w:r>
        <w:rPr>
          <w:rFonts w:hint="eastAsia" w:ascii="宋体" w:hAnsi="宋体" w:cs="宋体"/>
          <w:b/>
          <w:color w:val="auto"/>
          <w:sz w:val="24"/>
          <w:highlight w:val="none"/>
        </w:rPr>
        <w:t xml:space="preserve">代表本人身份证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auto"/>
          <w:sz w:val="24"/>
          <w:highlight w:val="none"/>
          <w:lang w:val="zh-CN" w:eastAsia="zh-CN"/>
        </w:rPr>
      </w:r>
      <w:r/>
    </w:p>
    <w:p>
      <w:pPr>
        <w:contextualSpacing/>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附件</w:t>
      </w:r>
      <w:r>
        <w:rPr>
          <w:rFonts w:hint="eastAsia" w:ascii="宋体" w:hAnsi="宋体" w:eastAsia="宋体" w:cs="宋体"/>
          <w:color w:val="auto"/>
          <w:sz w:val="24"/>
          <w:highlight w:val="none"/>
          <w:lang w:val="en-US" w:eastAsia="zh-CN"/>
        </w:rPr>
        <w:t xml:space="preserve">5</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954"/>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954"/>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color w:val="auto"/>
          <w:highlight w:val="none"/>
          <w:lang w:eastAsia="zh-CN"/>
        </w:rPr>
      </w:pPr>
      <w:r>
        <w:rPr>
          <w:rFonts w:hint="eastAsia"/>
          <w:color w:val="auto"/>
          <w:highlight w:val="none"/>
          <w:lang w:eastAsia="zh-CN"/>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         </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both"/>
        <w:spacing w:after="200" w:line="360" w:lineRule="exact"/>
        <w:widowControl/>
        <w:rPr>
          <w:rFonts w:hint="eastAsia" w:ascii="宋体" w:hAnsi="宋体"/>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Cs/>
          <w:color w:val="auto"/>
          <w:sz w:val="24"/>
          <w:szCs w:val="21"/>
          <w:highlight w:val="none"/>
          <w:lang w:eastAsia="zh-CN"/>
        </w:rPr>
      </w:r>
      <w:r/>
    </w:p>
    <w:p>
      <w:pPr>
        <w:jc w:val="both"/>
        <w:spacing w:after="200" w:line="360" w:lineRule="exact"/>
        <w:widowControl/>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val="en-US" w:eastAsia="zh-CN"/>
        </w:rPr>
        <w:t xml:space="preserve">                 </w:t>
      </w:r>
      <w:r/>
    </w:p>
    <w:p>
      <w:pPr>
        <w:jc w:val="center"/>
        <w:spacing w:after="200" w:line="360" w:lineRule="exac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拟派项目负责人无在建工程承诺书</w:t>
      </w:r>
      <w:r/>
    </w:p>
    <w:p>
      <w:pPr>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cs="宋体"/>
          <w:color w:val="auto"/>
          <w:sz w:val="24"/>
          <w:szCs w:val="24"/>
          <w:highlight w:val="none"/>
          <w:u w:val="single"/>
          <w:lang w:val="en-US" w:eastAsia="zh-CN"/>
        </w:rPr>
        <w:t xml:space="preserve">    （采购人）</w:t>
      </w:r>
      <w:r>
        <w:rPr>
          <w:rFonts w:hint="eastAsia" w:ascii="宋体" w:hAnsi="宋体" w:eastAsia="宋体" w:cs="宋体"/>
          <w:color w:val="auto"/>
          <w:spacing w:val="8"/>
          <w:sz w:val="24"/>
          <w:szCs w:val="24"/>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我方参加你方的</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工程（以下简称“本工程”）施工投标的申请，拟派项目负责人为</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。现我方向你方慎重承诺：</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拟派项目负责人 </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p>
    <w:p>
      <w:pPr>
        <w:ind w:right="-512" w:firstLine="3255"/>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人（盖公章）：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both"/>
        <w:spacing w:after="200" w:line="360" w:lineRule="exact"/>
        <w:widowControl/>
        <w:rPr>
          <w:rFonts w:hint="eastAsia" w:ascii="宋体" w:hAnsi="宋体" w:eastAsia="宋体" w:cs="Times New Roman"/>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Times New Roman"/>
          <w:bCs/>
          <w:color w:val="auto"/>
          <w:sz w:val="24"/>
          <w:szCs w:val="21"/>
          <w:highlight w:val="none"/>
          <w:lang w:eastAsia="zh-CN"/>
        </w:rPr>
      </w:r>
      <w:r/>
    </w:p>
    <w:p>
      <w:pPr>
        <w:jc w:val="both"/>
        <w:spacing w:after="200" w:line="360" w:lineRule="exact"/>
        <w:widowControl/>
        <w:rPr>
          <w:rFonts w:hint="default" w:ascii="宋体" w:hAnsi="宋体" w:eastAsia="宋体" w:cs="Times New Roman"/>
          <w:bCs/>
          <w:color w:val="auto"/>
          <w:sz w:val="24"/>
          <w:szCs w:val="21"/>
          <w:highlight w:val="none"/>
          <w:lang w:val="en-US" w:eastAsia="zh-CN"/>
        </w:rPr>
      </w:pPr>
      <w:r>
        <w:rPr>
          <w:rFonts w:hint="eastAsia" w:ascii="宋体" w:hAnsi="宋体" w:eastAsia="宋体" w:cs="Times New Roman"/>
          <w:bCs/>
          <w:color w:val="auto"/>
          <w:sz w:val="24"/>
          <w:szCs w:val="21"/>
          <w:highlight w:val="none"/>
          <w:lang w:eastAsia="zh-CN"/>
        </w:rPr>
        <w:t xml:space="preserve">附件</w:t>
      </w:r>
      <w:r>
        <w:rPr>
          <w:rFonts w:hint="eastAsia" w:ascii="宋体" w:hAnsi="宋体" w:eastAsia="宋体" w:cs="Times New Roman"/>
          <w:bCs/>
          <w:color w:val="auto"/>
          <w:sz w:val="24"/>
          <w:szCs w:val="21"/>
          <w:highlight w:val="none"/>
          <w:lang w:val="en-US" w:eastAsia="zh-CN"/>
        </w:rPr>
        <w:t xml:space="preserve">8</w:t>
      </w:r>
      <w:r/>
    </w:p>
    <w:p>
      <w:pPr>
        <w:jc w:val="center"/>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中小企业声明函（工程、服务）</w:t>
      </w:r>
      <w:r/>
    </w:p>
    <w:p>
      <w:pPr>
        <w:ind w:firstLine="72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auto"/>
          <w:sz w:val="24"/>
          <w:szCs w:val="21"/>
          <w:highlight w:val="none"/>
          <w:u w:val="single"/>
        </w:rPr>
        <w:t xml:space="preserve">（单位名称）</w:t>
      </w:r>
      <w:r>
        <w:rPr>
          <w:rFonts w:hint="eastAsia" w:ascii="宋体" w:hAnsi="宋体" w:cs="宋体"/>
          <w:color w:val="auto"/>
          <w:sz w:val="24"/>
          <w:szCs w:val="21"/>
          <w:highlight w:val="none"/>
        </w:rPr>
        <w:t xml:space="preserve">的</w:t>
      </w:r>
      <w:r>
        <w:rPr>
          <w:rFonts w:hint="eastAsia" w:ascii="宋体" w:hAnsi="宋体" w:cs="宋体"/>
          <w:color w:val="auto"/>
          <w:sz w:val="24"/>
          <w:szCs w:val="21"/>
          <w:highlight w:val="none"/>
          <w:u w:val="single"/>
        </w:rPr>
        <w:t xml:space="preserve">（项目名称）</w:t>
      </w:r>
      <w:r>
        <w:rPr>
          <w:rFonts w:hint="eastAsia" w:ascii="宋体" w:hAnsi="宋体" w:cs="宋体"/>
          <w:color w:val="auto"/>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企业名称（盖章）：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从业人员、营业收入、资产总额填报上一年度数据，无上一年度数据的新成立企业可不填报。</w:t>
      </w:r>
      <w:r/>
    </w:p>
    <w:p>
      <w:pPr>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（备注：供应商如不提供此声明函，价格将不做相应扣除）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default"/>
          <w:color w:val="auto"/>
          <w:highlight w:val="none"/>
          <w:lang w:val="en-US"/>
        </w:rPr>
      </w:pPr>
      <w:r>
        <w:rPr>
          <w:rFonts w:ascii="黑体" w:hAnsi="黑体" w:eastAsia="黑体"/>
          <w:b/>
          <w:color w:val="auto"/>
          <w:sz w:val="32"/>
          <w:szCs w:val="32"/>
          <w:highlight w:val="none"/>
        </w:rPr>
        <w:br w:type="page" w:clear="all"/>
      </w: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9</w:t>
      </w:r>
      <w:r/>
    </w:p>
    <w:p>
      <w:pPr>
        <w:jc w:val="center"/>
        <w:spacing w:line="460" w:lineRule="exact"/>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残疾人福利性单位声明函</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lang w:eastAsia="zh-CN"/>
        </w:rPr>
        <w:t xml:space="preserve">〔2017〕141号</w:t>
      </w:r>
      <w:r>
        <w:rPr>
          <w:rFonts w:hint="eastAsia" w:ascii="宋体" w:hAnsi="宋体"/>
          <w:color w:val="auto"/>
          <w:sz w:val="24"/>
          <w:highlight w:val="none"/>
        </w:rPr>
        <w:t xml:space="preserve">）的规定，本单位为符合条件的残疾人福利性单位，且本单位参加______单位的采购文件编号为______的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日  期：</w:t>
      </w:r>
      <w:r/>
    </w:p>
    <w:p>
      <w:pPr>
        <w:pStyle w:val="1148"/>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pStyle w:val="1148"/>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jc w:val="both"/>
        <w:spacing w:line="360" w:lineRule="auto"/>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10</w:t>
      </w:r>
      <w:r/>
    </w:p>
    <w:p>
      <w:pPr>
        <w:ind w:firstLine="360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3614"/>
        <w:jc w:val="both"/>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监狱企业证明函</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根据《财政部 司法部关于政府采购支持监狱企业发展有关问题的通知》（财库</w:t>
      </w:r>
      <w:r>
        <w:rPr>
          <w:rFonts w:hint="eastAsia" w:ascii="宋体" w:hAnsi="宋体" w:cs="宋体"/>
          <w:color w:val="auto"/>
          <w:sz w:val="24"/>
          <w:highlight w:val="none"/>
          <w:lang w:eastAsia="zh-CN" w:bidi="ar"/>
        </w:rPr>
        <w:t xml:space="preserve">〔2014〕68号</w:t>
      </w:r>
      <w:r>
        <w:rPr>
          <w:rFonts w:hint="eastAsia" w:ascii="宋体" w:hAnsi="宋体" w:cs="宋体"/>
          <w:color w:val="auto"/>
          <w:sz w:val="24"/>
          <w:highlight w:val="none"/>
          <w:lang w:bidi="ar"/>
        </w:rPr>
        <w:t xml:space="preserve">）的规定，</w:t>
      </w:r>
      <w:r>
        <w:rPr>
          <w:rFonts w:hint="eastAsia" w:ascii="宋体" w:hAnsi="宋体" w:cs="宋体"/>
          <w:color w:val="auto"/>
          <w:sz w:val="24"/>
          <w:highlight w:val="none"/>
          <w:u w:val="single"/>
          <w:lang w:bidi="ar"/>
        </w:rPr>
        <w:t xml:space="preserve">          （填写供应商法定全称）</w:t>
      </w:r>
      <w:r>
        <w:rPr>
          <w:rFonts w:hint="eastAsia" w:ascii="宋体" w:hAnsi="宋体" w:cs="宋体"/>
          <w:color w:val="auto"/>
          <w:sz w:val="24"/>
          <w:highlight w:val="none"/>
          <w:lang w:bidi="ar"/>
        </w:rPr>
        <w:t xml:space="preserve">为监狱企业。</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特此声明。</w:t>
      </w:r>
      <w:r/>
    </w:p>
    <w:p>
      <w:pPr>
        <w:ind w:firstLine="1440"/>
        <w:jc w:val="left"/>
        <w:spacing w:before="156" w:after="156"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1440"/>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省级以上监狱管理局、戒毒管理局（含新疆生产建设兵团）（盖章）：</w:t>
      </w:r>
      <w:r/>
    </w:p>
    <w:p>
      <w:pPr>
        <w:jc w:val="left"/>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59"/>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59"/>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keepLines/>
        <w:keepNext/>
        <w:spacing w:before="260" w:after="260" w:line="416" w:lineRule="auto"/>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11   </w:t>
      </w:r>
      <w:r/>
    </w:p>
    <w:p>
      <w:pPr>
        <w:jc w:val="center"/>
        <w:keepLines/>
        <w:keepNext/>
        <w:spacing w:before="260" w:after="260" w:line="416" w:lineRule="auto"/>
        <w:rPr>
          <w:rFonts w:hint="eastAsia" w:ascii="宋体" w:hAnsi="宋体" w:eastAsia="宋体" w:cs="宋体"/>
          <w:b/>
          <w:color w:val="auto"/>
          <w:sz w:val="24"/>
          <w:highlight w:val="none"/>
          <w:lang w:bidi="ar"/>
        </w:rPr>
        <w:outlineLvl w:val="1"/>
      </w:pPr>
      <w:r>
        <w:rPr>
          <w:rFonts w:hint="eastAsia" w:ascii="宋体" w:hAnsi="宋体" w:eastAsia="宋体" w:cs="宋体"/>
          <w:b/>
          <w:color w:val="auto"/>
          <w:sz w:val="24"/>
          <w:highlight w:val="none"/>
          <w:lang w:bidi="ar"/>
        </w:rPr>
        <w:t xml:space="preserve">磋商响应函</w:t>
      </w:r>
      <w:r/>
    </w:p>
    <w:p>
      <w:pPr>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lang w:eastAsia="zh-CN"/>
        </w:rPr>
        <w:t xml:space="preserve">（采购人）、南通市通州区公共资源交易中心</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根据贵方的</w:t>
      </w:r>
      <w:r>
        <w:rPr>
          <w:rFonts w:hint="eastAsia" w:ascii="宋体" w:hAnsi="宋体"/>
          <w:color w:val="auto"/>
          <w:sz w:val="24"/>
          <w:szCs w:val="24"/>
          <w:highlight w:val="none"/>
          <w:u w:val="single"/>
          <w:lang w:eastAsia="zh-CN"/>
        </w:rPr>
        <w:t xml:space="preserve">（项目编号）</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号磋商文件，正式授权下述签字人______</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姓名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代表我方______________（供应商的名称），全权处理本次项目磋商的有关事宜。</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据此函，__________签字人兹宣布同意如下：</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.一旦我方成交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我方将根据磋商文件的规定，严格履行合同的责任和义务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并保证在磋商文件规定的时间完成项目，交付买方验收、使用。</w:t>
      </w:r>
      <w:r/>
    </w:p>
    <w:p>
      <w:pPr>
        <w:ind w:left="425"/>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.我方与本磋商有关的正式通讯地址为：</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邮          编：</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电          话：</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传          真：</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供应商开户行：</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 </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期：________年____月____日</w:t>
      </w:r>
      <w:r/>
    </w:p>
    <w:p>
      <w:pPr>
        <w:pStyle w:val="959"/>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59"/>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59"/>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spacing w:line="360" w:lineRule="auto"/>
        <w:rPr>
          <w:rFonts w:hint="default" w:ascii="宋体" w:hAnsi="宋体" w:eastAsia="宋体" w:cs="宋体"/>
          <w:bCs/>
          <w:color w:val="auto"/>
          <w:sz w:val="24"/>
          <w:highlight w:val="none"/>
          <w:lang w:val="en-US" w:eastAsia="zh-CN" w:bidi="ar"/>
        </w:rPr>
      </w:pPr>
      <w:r>
        <w:rPr>
          <w:rFonts w:hint="eastAsia" w:ascii="宋体" w:hAnsi="宋体" w:eastAsia="宋体" w:cs="宋体"/>
          <w:bCs/>
          <w:color w:val="auto"/>
          <w:sz w:val="24"/>
          <w:highlight w:val="none"/>
          <w:lang w:bidi="ar"/>
        </w:rPr>
        <w:t xml:space="preserve">附件</w:t>
      </w:r>
      <w:r>
        <w:rPr>
          <w:rFonts w:hint="eastAsia" w:ascii="宋体" w:hAnsi="宋体" w:eastAsia="宋体" w:cs="宋体"/>
          <w:bCs/>
          <w:color w:val="auto"/>
          <w:sz w:val="24"/>
          <w:highlight w:val="none"/>
          <w:lang w:val="en-US" w:eastAsia="zh-CN" w:bidi="ar"/>
        </w:rPr>
        <w:t xml:space="preserve">12</w:t>
      </w:r>
      <w:r/>
    </w:p>
    <w:p>
      <w:pPr>
        <w:jc w:val="center"/>
        <w:spacing w:line="360" w:lineRule="auto"/>
        <w:rPr>
          <w:rFonts w:hint="eastAsia" w:ascii="宋体" w:hAnsi="宋体" w:eastAsia="宋体" w:cs="宋体"/>
          <w:b/>
          <w:color w:val="auto"/>
          <w:sz w:val="24"/>
          <w:highlight w:val="none"/>
          <w:lang w:bidi="ar"/>
        </w:rPr>
      </w:pPr>
      <w:r>
        <w:rPr>
          <w:rFonts w:hint="eastAsia" w:ascii="宋体" w:hAnsi="宋体" w:eastAsia="宋体" w:cs="宋体"/>
          <w:b/>
          <w:color w:val="auto"/>
          <w:sz w:val="32"/>
          <w:szCs w:val="32"/>
          <w:highlight w:val="none"/>
          <w:lang w:bidi="ar"/>
        </w:rPr>
        <w:t xml:space="preserve">供应商信用承诺书</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为营造公开、公平、公正的公共资源交易环境，树立诚信守法的响应人形象，本人代表本单位作出以下承诺：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二、严格依照国家和省、市、县关于采购等方面的法律、法规、规章、规范性文件，参加公共资源交易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活动；积极履行社会责任，促进廉政建设；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四、自我约束、自我管理，守合同、重信用，不参与围标串标、弄虚作假、骗取中标、干扰评标、违约毁约、恶意投诉等行为，主动维护公共资源交易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的良好秩序；</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五、本单位自愿接受采购有关行政监督部门的依法检查。如发生违法违规或不良行为或存在其他法律法规对</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行为予以限制的情形，自愿接受采购有关行政监督部门依法给予的行政处罚（处理），并依法承担相应的法律责任；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六、自觉接受政府部门、行业组织、社会公众、新闻舆论等监督；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七、上述承诺已向本单位员工作了宣传教育；</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bidi="ar"/>
        </w:rPr>
        <w:t xml:space="preserve">如有违反上述承诺的不良行为，本单位同意将其予以上网公示。</w:t>
      </w:r>
      <w:r/>
    </w:p>
    <w:p>
      <w:pPr>
        <w:ind w:firstLine="456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供应商全称(盖公章)：</w:t>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法定代表人（签字或盖章）：</w:t>
      </w:r>
      <w:r/>
    </w:p>
    <w:p>
      <w:pPr>
        <w:ind w:firstLine="264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时间：  年  月   日</w:t>
      </w:r>
      <w:r/>
    </w:p>
    <w:p>
      <w:pPr>
        <w:rPr>
          <w:rFonts w:hint="eastAsia"/>
          <w:color w:val="auto"/>
          <w:highlight w:val="none"/>
        </w:rPr>
      </w:pPr>
      <w:r>
        <w:rPr>
          <w:rFonts w:hint="eastAsia"/>
          <w:color w:val="auto"/>
          <w:highlight w:val="none"/>
        </w:rPr>
        <w:br w:type="page" w:clear="all"/>
      </w:r>
      <w:r/>
    </w:p>
    <w:p>
      <w:pPr>
        <w:ind w:left="0" w:right="0"/>
        <w:pageBreakBefore w:val="0"/>
        <w:widowControl w:val="off"/>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附件13</w:t>
      </w:r>
      <w:r/>
    </w:p>
    <w:p>
      <w:pPr>
        <w:ind w:left="0" w:right="0"/>
        <w:jc w:val="center"/>
        <w:keepLines/>
        <w:keepNext/>
        <w:pageBreakBefore w:val="0"/>
        <w:spacing w:line="400" w:lineRule="exact"/>
        <w:widowControl w:val="off"/>
        <w:rPr>
          <w:rFonts w:ascii="Times New Roman" w:hAnsi="Times New Roman" w:eastAsia="宋体" w:cs="Times New Roman"/>
          <w:b/>
          <w:color w:val="auto"/>
          <w:sz w:val="24"/>
          <w:highlight w:val="none"/>
        </w:rPr>
        <w:outlineLvl w:val="1"/>
      </w:pPr>
      <w:r>
        <w:rPr>
          <w:rFonts w:ascii="Times New Roman" w:hAnsi="Times New Roman" w:eastAsia="黑体" w:cs="宋体"/>
          <w:color w:val="auto"/>
          <w:sz w:val="28"/>
          <w:szCs w:val="20"/>
          <w:highlight w:val="none"/>
        </w:rPr>
        <w:t xml:space="preserve">投标函</w:t>
      </w:r>
      <w:r/>
    </w:p>
    <w:p>
      <w:pPr>
        <w:ind w:left="0" w:right="0"/>
        <w:jc w:val="center"/>
        <w:pageBreakBefore w:val="0"/>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numPr>
          <w:ilvl w:val="0"/>
          <w:numId w:val="11"/>
        </w:numPr>
        <w:ind w:left="0" w:right="0" w:firstLine="484"/>
        <w:keepLines w:val="0"/>
        <w:keepNext w:val="0"/>
        <w:pageBreakBefore w:val="0"/>
        <w:spacing w:line="360" w:lineRule="auto"/>
        <w:widowControl w:val="off"/>
        <w:rPr>
          <w:rFonts w:hint="eastAsia" w:ascii="宋体" w:hAnsi="宋体" w:eastAsia="宋体" w:cs="宋体"/>
          <w:color w:val="auto"/>
          <w:sz w:val="24"/>
          <w:highlight w:val="none"/>
        </w:rPr>
      </w:pPr>
      <w:r>
        <w:rPr>
          <w:rFonts w:ascii="Times New Roman" w:hAnsi="Times New Roman" w:eastAsia="宋体" w:cs="Times New Roman"/>
          <w:color w:val="auto"/>
          <w:sz w:val="24"/>
          <w:highlight w:val="none"/>
        </w:rPr>
        <w:t xml:space="preserve">根据你方项目编号为</w:t>
      </w:r>
      <w:r>
        <w:rPr>
          <w:rFonts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u w:val="single"/>
          <w:lang w:val="en-US" w:eastAsia="zh-CN"/>
        </w:rPr>
        <w:t xml:space="preserve">项目</w:t>
      </w:r>
      <w:r>
        <w:rPr>
          <w:rFonts w:ascii="Times New Roman" w:hAnsi="Times New Roman" w:eastAsia="宋体" w:cs="Times New Roman"/>
          <w:color w:val="auto"/>
          <w:sz w:val="24"/>
          <w:highlight w:val="none"/>
          <w:u w:val="single"/>
        </w:rPr>
        <w:t xml:space="preserve">编号）  </w:t>
      </w:r>
      <w:r>
        <w:rPr>
          <w:rFonts w:ascii="Times New Roman" w:hAnsi="Times New Roman" w:eastAsia="宋体" w:cs="Times New Roman"/>
          <w:color w:val="auto"/>
          <w:sz w:val="24"/>
          <w:highlight w:val="none"/>
        </w:rPr>
        <w:t xml:space="preserve">的</w:t>
      </w:r>
      <w:r>
        <w:rPr>
          <w:rFonts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u w:val="single"/>
          <w:lang w:val="en-US" w:eastAsia="zh-CN"/>
        </w:rPr>
        <w:t xml:space="preserve">项目</w:t>
      </w:r>
      <w:r>
        <w:rPr>
          <w:rFonts w:ascii="Times New Roman" w:hAnsi="Times New Roman" w:eastAsia="宋体" w:cs="Times New Roman"/>
          <w:color w:val="auto"/>
          <w:sz w:val="24"/>
          <w:highlight w:val="none"/>
          <w:u w:val="single"/>
        </w:rPr>
        <w:t xml:space="preserve">名称）  </w:t>
      </w:r>
      <w:r>
        <w:rPr>
          <w:rFonts w:ascii="Times New Roman" w:hAnsi="Times New Roman" w:eastAsia="宋体" w:cs="Times New Roman"/>
          <w:color w:val="auto"/>
          <w:sz w:val="24"/>
          <w:highlight w:val="none"/>
        </w:rPr>
        <w:t xml:space="preserve">工程</w:t>
      </w:r>
      <w:r>
        <w:rPr>
          <w:rFonts w:hint="eastAsia" w:ascii="Times New Roman" w:hAnsi="Times New Roman" w:eastAsia="宋体" w:cs="Times New Roman"/>
          <w:color w:val="auto"/>
          <w:sz w:val="24"/>
          <w:highlight w:val="none"/>
          <w:lang w:eastAsia="zh-CN"/>
        </w:rPr>
        <w:t xml:space="preserve">竞争性磋商</w:t>
      </w:r>
      <w:r>
        <w:rPr>
          <w:rFonts w:ascii="Times New Roman" w:hAnsi="Times New Roman" w:eastAsia="宋体" w:cs="Times New Roman"/>
          <w:color w:val="auto"/>
          <w:sz w:val="24"/>
          <w:highlight w:val="none"/>
        </w:rPr>
        <w:t xml:space="preserve">文件，遵照有关规定，经踏勘项目现场和研究上述</w:t>
      </w:r>
      <w:r>
        <w:rPr>
          <w:rFonts w:hint="eastAsia" w:ascii="Times New Roman" w:hAnsi="Times New Roman" w:eastAsia="宋体" w:cs="Times New Roman"/>
          <w:color w:val="auto"/>
          <w:sz w:val="24"/>
          <w:highlight w:val="none"/>
          <w:lang w:eastAsia="zh-CN"/>
        </w:rPr>
        <w:t xml:space="preserve">竞争性磋商</w:t>
      </w:r>
      <w:r>
        <w:rPr>
          <w:rFonts w:ascii="Times New Roman" w:hAnsi="Times New Roman" w:eastAsia="宋体" w:cs="Times New Roman"/>
          <w:color w:val="auto"/>
          <w:sz w:val="24"/>
          <w:highlight w:val="none"/>
        </w:rPr>
        <w:t xml:space="preserve">文件的投标须知、合同条款、工程建设标准和工程量清单及其他有关文件后，我方愿以</w:t>
      </w:r>
      <w:r>
        <w:rPr>
          <w:rFonts w:hint="eastAsia" w:ascii="Times New Roman" w:hAnsi="Times New Roman" w:eastAsia="宋体" w:cs="Times New Roman"/>
          <w:color w:val="auto"/>
          <w:sz w:val="24"/>
          <w:highlight w:val="none"/>
          <w:u w:val="single"/>
          <w:lang w:val="en-US" w:eastAsia="zh-CN"/>
        </w:rPr>
        <w:t xml:space="preserve">     </w:t>
      </w:r>
      <w:r>
        <w:rPr>
          <w:rFonts w:ascii="Times New Roman" w:hAnsi="Times New Roman" w:eastAsia="宋体" w:cs="Times New Roman"/>
          <w:color w:val="auto"/>
          <w:sz w:val="24"/>
          <w:highlight w:val="none"/>
        </w:rPr>
        <w:t xml:space="preserve">的</w:t>
      </w:r>
      <w:r>
        <w:rPr>
          <w:rFonts w:hint="eastAsia" w:ascii="Times New Roman" w:hAnsi="Times New Roman" w:eastAsia="宋体" w:cs="Times New Roman"/>
          <w:color w:val="auto"/>
          <w:sz w:val="24"/>
          <w:highlight w:val="none"/>
          <w:lang w:val="en-US" w:eastAsia="zh-CN"/>
        </w:rPr>
        <w:t xml:space="preserve">总价</w:t>
      </w:r>
      <w:r>
        <w:rPr>
          <w:rFonts w:ascii="Times New Roman" w:hAnsi="Times New Roman" w:eastAsia="宋体" w:cs="Times New Roman"/>
          <w:color w:val="auto"/>
          <w:sz w:val="24"/>
          <w:highlight w:val="none"/>
        </w:rPr>
        <w:t xml:space="preserve">并按上述合同条款、工程建设标准和工程量清单的条件要求承包上述工程的施工、竣工，并承担任何质量缺陷保修责任。我方保证工程质量达到</w:t>
      </w:r>
      <w:r>
        <w:rPr>
          <w:rFonts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rPr>
        <w:t xml:space="preserve">标准，工期</w:t>
      </w:r>
      <w:r>
        <w:rPr>
          <w:rFonts w:hint="eastAsia"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w:t>
      </w:r>
      <w:r>
        <w:rPr>
          <w:rFonts w:hint="eastAsia" w:ascii="宋体" w:hAnsi="宋体" w:eastAsia="宋体" w:cs="宋体"/>
          <w:color w:val="auto"/>
          <w:sz w:val="24"/>
          <w:highlight w:val="none"/>
        </w:rPr>
        <w:t xml:space="preserve">如果我方中标，我方将按照规定提交履约担保</w:t>
      </w:r>
      <w:r>
        <w:rPr>
          <w:rFonts w:hint="eastAsia" w:ascii="宋体" w:hAnsi="宋体" w:eastAsia="宋体" w:cs="宋体"/>
          <w:color w:val="auto"/>
          <w:sz w:val="24"/>
          <w:highlight w:val="none"/>
          <w:u w:val="single"/>
        </w:rPr>
        <w:t xml:space="preserve">合同</w:t>
      </w:r>
      <w:r>
        <w:rPr>
          <w:rFonts w:hint="eastAsia" w:ascii="宋体" w:hAnsi="宋体" w:eastAsia="宋体" w:cs="宋体"/>
          <w:color w:val="auto"/>
          <w:sz w:val="24"/>
          <w:highlight w:val="none"/>
          <w:u w:val="single"/>
          <w:lang w:val="en-US" w:eastAsia="zh-CN"/>
        </w:rPr>
        <w:t xml:space="preserve">总</w:t>
      </w:r>
      <w:r>
        <w:rPr>
          <w:rFonts w:hint="eastAsia" w:ascii="宋体" w:hAnsi="宋体" w:eastAsia="宋体" w:cs="宋体"/>
          <w:color w:val="auto"/>
          <w:sz w:val="24"/>
          <w:highlight w:val="none"/>
          <w:u w:val="single"/>
        </w:rPr>
        <w:t xml:space="preserve">价的        %</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2、贵单位的</w:t>
      </w:r>
      <w:r>
        <w:rPr>
          <w:rFonts w:hint="eastAsia" w:ascii="Times New Roman" w:hAnsi="Times New Roman" w:eastAsia="宋体" w:cs="Times New Roman"/>
          <w:color w:val="auto"/>
          <w:sz w:val="24"/>
          <w:highlight w:val="none"/>
          <w:lang w:eastAsia="zh-CN"/>
        </w:rPr>
        <w:t xml:space="preserve">竞争性磋商</w:t>
      </w:r>
      <w:r>
        <w:rPr>
          <w:rFonts w:hint="eastAsia" w:ascii="Times New Roman" w:hAnsi="Times New Roman" w:eastAsia="宋体" w:cs="Times New Roman"/>
          <w:color w:val="auto"/>
          <w:sz w:val="24"/>
          <w:highlight w:val="none"/>
        </w:rPr>
        <w:t xml:space="preserve">文件、中标通知书和本投标文件将构成约束我们双方的合同。</w:t>
      </w:r>
      <w:r/>
    </w:p>
    <w:p>
      <w:pPr>
        <w:ind w:left="0" w:right="0" w:firstLine="480"/>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3、我方承诺，如果我方中</w:t>
      </w:r>
      <w:r>
        <w:rPr>
          <w:rFonts w:hint="eastAsia" w:ascii="宋体" w:hAnsi="宋体" w:eastAsia="宋体" w:cs="宋体"/>
          <w:color w:val="auto"/>
          <w:sz w:val="24"/>
          <w:highlight w:val="none"/>
        </w:rPr>
        <w:t xml:space="preserve">标，我方保证做到：不违法分包、转包，</w:t>
      </w:r>
      <w:r>
        <w:rPr>
          <w:rFonts w:hint="eastAsia" w:ascii="Times New Roman" w:hAnsi="Times New Roman" w:eastAsia="宋体" w:cs="Times New Roman"/>
          <w:color w:val="auto"/>
          <w:sz w:val="24"/>
          <w:highlight w:val="none"/>
        </w:rPr>
        <w:t xml:space="preserve">拟派项目负责人满足无在建工程的相关要求。</w:t>
      </w:r>
      <w:r/>
    </w:p>
    <w:p>
      <w:pPr>
        <w:ind w:left="0" w:right="0" w:firstLine="484"/>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4、我方承诺在本次投标过程中无弄虚作假和串通投标等违法、违规行为，并</w:t>
      </w:r>
      <w:r>
        <w:rPr>
          <w:rFonts w:hint="eastAsia" w:ascii="宋体" w:hAnsi="宋体" w:eastAsia="宋体" w:cs="Times New Roman"/>
          <w:color w:val="auto"/>
          <w:sz w:val="24"/>
          <w:highlight w:val="none"/>
        </w:rPr>
        <w:t xml:space="preserve">愿意承担因</w:t>
      </w:r>
      <w:r>
        <w:rPr>
          <w:rFonts w:hint="eastAsia" w:ascii="Times New Roman" w:hAnsi="Times New Roman" w:eastAsia="宋体" w:cs="Times New Roman"/>
          <w:color w:val="auto"/>
          <w:sz w:val="24"/>
          <w:highlight w:val="none"/>
        </w:rPr>
        <w:t xml:space="preserve">弄虚作假和串通投标</w:t>
      </w:r>
      <w:r>
        <w:rPr>
          <w:rFonts w:hint="eastAsia" w:ascii="宋体" w:hAnsi="宋体" w:eastAsia="宋体" w:cs="Times New Roman"/>
          <w:color w:val="auto"/>
          <w:sz w:val="24"/>
          <w:highlight w:val="none"/>
        </w:rPr>
        <w:t xml:space="preserve">所引起的一切法律责任。</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w:t>
      </w:r>
      <w:r>
        <w:rPr>
          <w:rFonts w:ascii="Times New Roman" w:hAnsi="Times New Roman" w:eastAsia="宋体" w:cs="Times New Roman"/>
          <w:color w:val="auto"/>
          <w:sz w:val="24"/>
          <w:highlight w:val="none"/>
        </w:rPr>
        <w:t xml:space="preserve">、我方承诺在投标有效期内不修改、撤销投标文件。</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w:t>
      </w:r>
      <w:r>
        <w:rPr>
          <w:rFonts w:ascii="Times New Roman" w:hAnsi="Times New Roman" w:eastAsia="宋体" w:cs="Times New Roman"/>
          <w:color w:val="auto"/>
          <w:sz w:val="24"/>
          <w:highlight w:val="none"/>
        </w:rPr>
        <w:t xml:space="preserve">、如我方中标：</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（1）我方承诺在收到中标通知书后，在中标通知书规定的期限内与你方签订合同。</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（2）我方承诺按照</w:t>
      </w:r>
      <w:r>
        <w:rPr>
          <w:rFonts w:hint="eastAsia" w:ascii="Times New Roman" w:hAnsi="Times New Roman" w:eastAsia="宋体" w:cs="Times New Roman"/>
          <w:color w:val="auto"/>
          <w:sz w:val="24"/>
          <w:highlight w:val="none"/>
          <w:lang w:eastAsia="zh-CN"/>
        </w:rPr>
        <w:t xml:space="preserve">竞争性磋商</w:t>
      </w:r>
      <w:r>
        <w:rPr>
          <w:rFonts w:ascii="Times New Roman" w:hAnsi="Times New Roman" w:eastAsia="宋体" w:cs="Times New Roman"/>
          <w:color w:val="auto"/>
          <w:sz w:val="24"/>
          <w:highlight w:val="none"/>
        </w:rPr>
        <w:t xml:space="preserve">文件规定向你方递交履约担保。</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（3）我方承诺在合同约定的期限内完成并移交全部合同工程。</w:t>
      </w:r>
      <w:r/>
    </w:p>
    <w:p>
      <w:pPr>
        <w:ind w:left="0" w:right="0" w:firstLine="1680"/>
        <w:keepLines w:val="0"/>
        <w:keepNext w:val="0"/>
        <w:pageBreakBefore w:val="0"/>
        <w:spacing w:line="360" w:lineRule="auto"/>
        <w:widowControl w:val="off"/>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供应商全称(盖公章)：</w:t>
      </w:r>
      <w:r/>
    </w:p>
    <w:p>
      <w:pPr>
        <w:ind w:left="0" w:right="0" w:firstLine="1680"/>
        <w:keepLines w:val="0"/>
        <w:keepNext w:val="0"/>
        <w:pageBreakBefore w:val="0"/>
        <w:spacing w:line="360" w:lineRule="auto"/>
        <w:widowControl w:val="off"/>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法定代表人（签字或盖章）：</w:t>
      </w:r>
      <w:r/>
    </w:p>
    <w:p>
      <w:pPr>
        <w:ind w:left="0" w:right="0" w:firstLine="722"/>
        <w:keepLines w:val="0"/>
        <w:keepNext w:val="0"/>
        <w:pageBreakBefore w:val="0"/>
        <w:spacing w:line="360" w:lineRule="auto"/>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供应商地址：</w:t>
      </w:r>
      <w:r>
        <w:rPr>
          <w:rFonts w:hint="eastAsia" w:ascii="Times New Roman" w:hAnsi="Times New Roman" w:eastAsia="宋体" w:cs="Times New Roman"/>
          <w:color w:val="auto"/>
          <w:sz w:val="24"/>
          <w:highlight w:val="none"/>
          <w:u w:val="single"/>
        </w:rPr>
        <w:t xml:space="preserve">          </w:t>
      </w:r>
      <w:r/>
    </w:p>
    <w:p>
      <w:pPr>
        <w:ind w:left="0" w:right="0" w:firstLine="722"/>
        <w:keepLines w:val="0"/>
        <w:keepNext w:val="0"/>
        <w:pageBreakBefore w:val="0"/>
        <w:spacing w:line="360" w:lineRule="auto"/>
        <w:widowControl w:val="off"/>
        <w:rPr>
          <w:rFonts w:hint="eastAsia" w:ascii="Times New Roman" w:hAnsi="Times New Roman" w:eastAsia="宋体" w:cs="Times New Roman"/>
          <w:color w:val="auto"/>
          <w:sz w:val="24"/>
          <w:highlight w:val="none"/>
          <w:u w:val="single"/>
        </w:rPr>
      </w:pPr>
      <w:r>
        <w:rPr>
          <w:rFonts w:ascii="Times New Roman" w:hAnsi="Times New Roman" w:eastAsia="宋体" w:cs="Times New Roman"/>
          <w:color w:val="auto"/>
          <w:sz w:val="24"/>
          <w:highlight w:val="none"/>
        </w:rPr>
        <w:t xml:space="preserve">邮政编码：</w:t>
      </w:r>
      <w:r>
        <w:rPr>
          <w:rFonts w:hint="eastAsia" w:ascii="Times New Roman" w:hAnsi="Times New Roman" w:eastAsia="宋体" w:cs="Times New Roman"/>
          <w:color w:val="auto"/>
          <w:sz w:val="24"/>
          <w:highlight w:val="none"/>
          <w:u w:val="single"/>
        </w:rPr>
        <w:t xml:space="preserve">          </w:t>
      </w:r>
      <w:r/>
    </w:p>
    <w:p>
      <w:pPr>
        <w:ind w:left="0" w:right="0" w:firstLine="722"/>
        <w:keepLines w:val="0"/>
        <w:keepNext w:val="0"/>
        <w:pageBreakBefore w:val="0"/>
        <w:spacing w:line="360" w:lineRule="auto"/>
        <w:widowControl w:val="off"/>
        <w:rPr>
          <w:rFonts w:hint="eastAsia" w:ascii="Times New Roman" w:hAnsi="Times New Roman" w:eastAsia="宋体" w:cs="Times New Roman"/>
          <w:color w:val="auto"/>
          <w:sz w:val="24"/>
          <w:highlight w:val="none"/>
          <w:u w:val="single"/>
        </w:rPr>
      </w:pPr>
      <w:r>
        <w:rPr>
          <w:rFonts w:ascii="Times New Roman" w:hAnsi="Times New Roman" w:eastAsia="宋体" w:cs="Times New Roman"/>
          <w:color w:val="auto"/>
          <w:sz w:val="24"/>
          <w:highlight w:val="none"/>
        </w:rPr>
        <w:t xml:space="preserve">电话：</w:t>
      </w:r>
      <w:r>
        <w:rPr>
          <w:rFonts w:hint="eastAsia" w:ascii="Times New Roman" w:hAnsi="Times New Roman" w:eastAsia="宋体" w:cs="Times New Roman"/>
          <w:color w:val="auto"/>
          <w:sz w:val="24"/>
          <w:highlight w:val="none"/>
          <w:u w:val="single"/>
        </w:rPr>
        <w:t xml:space="preserve">         </w:t>
      </w:r>
      <w:r/>
    </w:p>
    <w:p>
      <w:pPr>
        <w:ind w:left="0" w:right="0" w:firstLine="722"/>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传真：</w:t>
      </w:r>
      <w:r>
        <w:rPr>
          <w:rFonts w:hint="eastAsia" w:ascii="Times New Roman" w:hAnsi="Times New Roman" w:eastAsia="宋体" w:cs="Times New Roman"/>
          <w:color w:val="auto"/>
          <w:sz w:val="24"/>
          <w:highlight w:val="none"/>
          <w:u w:val="single"/>
        </w:rPr>
        <w:t xml:space="preserve">          </w:t>
      </w:r>
      <w:r/>
    </w:p>
    <w:p>
      <w:pPr>
        <w:ind w:left="0" w:right="0" w:firstLine="484"/>
        <w:jc w:val="right"/>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日期：</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年</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月</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日</w:t>
      </w:r>
      <w:r/>
    </w:p>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eastAsia="宋体"/>
          <w:color w:val="auto"/>
          <w:highlight w:val="none"/>
          <w:lang w:val="en-US" w:eastAsia="zh-CN"/>
        </w:rPr>
      </w:pPr>
      <w:r>
        <w:rPr>
          <w:rFonts w:hint="eastAsia" w:ascii="宋体" w:hAnsi="宋体" w:eastAsia="宋体" w:cs="Times New Roman"/>
          <w:color w:val="auto"/>
          <w:sz w:val="24"/>
          <w:highlight w:val="none"/>
        </w:rPr>
        <w:t xml:space="preserve">附件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项目清单</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自行下载</w:t>
      </w:r>
      <w:r>
        <w:rPr>
          <w:rFonts w:hint="eastAsia" w:ascii="宋体" w:hAnsi="宋体" w:eastAsia="宋体" w:cs="Times New Roman"/>
          <w:color w:val="auto"/>
          <w:sz w:val="24"/>
          <w:highlight w:val="none"/>
          <w:lang w:eastAsia="zh-CN"/>
        </w:rPr>
        <w:t xml:space="preserve">）</w:t>
      </w:r>
      <w:r/>
    </w:p>
    <w:p>
      <w:pPr>
        <w:rPr>
          <w:rFonts w:hint="eastAsia"/>
          <w:color w:val="auto"/>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3.质疑</w:t>
      </w:r>
      <w:r>
        <w:rPr>
          <w:rFonts w:hint="eastAsia" w:ascii="宋体" w:hAnsi="宋体" w:eastAsia="宋体" w:cs="Times New Roman"/>
          <w:color w:val="auto"/>
          <w:sz w:val="24"/>
          <w:szCs w:val="24"/>
          <w:highlight w:val="none"/>
        </w:rPr>
        <w:t xml:space="preserve">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59"/>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59"/>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ind w:firstLine="140"/>
        <w:spacing w:line="360" w:lineRule="auto"/>
        <w:rPr>
          <w:rFonts w:hint="default" w:ascii="仿宋_GB2312" w:hAnsi="Times New Roman" w:eastAsia="仿宋_GB2312" w:cs="Times New Roman"/>
          <w:color w:val="auto"/>
          <w:sz w:val="28"/>
          <w:szCs w:val="28"/>
          <w:highlight w:val="none"/>
        </w:rPr>
      </w:pPr>
      <w:r>
        <w:rPr>
          <w:rFonts w:hint="eastAsia" w:ascii="仿宋_GB2312" w:hAnsi="Times New Roman" w:eastAsia="仿宋_GB2312" w:cs="Times New Roman"/>
          <w:color w:val="auto"/>
          <w:sz w:val="28"/>
          <w:szCs w:val="28"/>
          <w:highlight w:val="none"/>
        </w:rPr>
        <w:t xml:space="preserve">附件：</w:t>
      </w:r>
      <w:r/>
    </w:p>
    <w:p>
      <w:pPr>
        <w:jc w:val="center"/>
        <w:spacing w:line="360" w:lineRule="auto"/>
        <w:rPr>
          <w:rFonts w:hint="default" w:ascii="方正小标宋简体" w:hAnsi="Times New Roman" w:eastAsia="方正小标宋简体" w:cs="Times New Roman"/>
          <w:color w:val="auto"/>
          <w:sz w:val="36"/>
          <w:szCs w:val="36"/>
          <w:highlight w:val="none"/>
        </w:rPr>
      </w:pPr>
      <w:r>
        <w:rPr>
          <w:rFonts w:hint="eastAsia" w:ascii="方正小标宋简体" w:hAnsi="Times New Roman" w:eastAsia="方正小标宋简体" w:cs="Times New Roman"/>
          <w:color w:val="auto"/>
          <w:sz w:val="36"/>
          <w:szCs w:val="36"/>
          <w:highlight w:val="none"/>
        </w:rPr>
        <w:t xml:space="preserve">办理政采贷和</w:t>
      </w:r>
      <w:r>
        <w:rPr>
          <w:rFonts w:hint="default" w:ascii="方正小标宋简体" w:hAnsi="Times New Roman" w:eastAsia="方正小标宋简体" w:cs="Times New Roman"/>
          <w:color w:val="auto"/>
          <w:sz w:val="36"/>
          <w:szCs w:val="36"/>
          <w:highlight w:val="none"/>
        </w:rPr>
        <w:t xml:space="preserve">履</w:t>
      </w:r>
      <w:r>
        <w:rPr>
          <w:rFonts w:hint="eastAsia" w:ascii="方正小标宋简体" w:hAnsi="Times New Roman" w:eastAsia="方正小标宋简体" w:cs="Times New Roman"/>
          <w:color w:val="auto"/>
          <w:sz w:val="36"/>
          <w:szCs w:val="36"/>
          <w:highlight w:val="none"/>
        </w:rPr>
        <w:t xml:space="preserve">约保函（</w:t>
      </w:r>
      <w:r>
        <w:rPr>
          <w:rFonts w:hint="default" w:ascii="方正小标宋简体" w:hAnsi="Times New Roman" w:eastAsia="方正小标宋简体" w:cs="Times New Roman"/>
          <w:color w:val="auto"/>
          <w:sz w:val="36"/>
          <w:szCs w:val="36"/>
          <w:highlight w:val="none"/>
        </w:rPr>
        <w:t xml:space="preserve">保险</w:t>
      </w:r>
      <w:r>
        <w:rPr>
          <w:rFonts w:hint="eastAsia" w:ascii="方正小标宋简体" w:hAnsi="Times New Roman" w:eastAsia="方正小标宋简体" w:cs="Times New Roman"/>
          <w:color w:val="auto"/>
          <w:sz w:val="36"/>
          <w:szCs w:val="36"/>
          <w:highlight w:val="none"/>
        </w:rPr>
        <w:t xml:space="preserve">）告知函</w:t>
      </w:r>
      <w:r/>
    </w:p>
    <w:p>
      <w:pPr>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各政府采购供应商：</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欢迎贵公司参与南通市政府采购活动！</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政府采购线上合同信用融资和</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）是支持企业发展，针对参与政府采购活动的企业融资难、现金流不足等问题推出的一项服务举措。</w:t>
      </w:r>
      <w:r/>
    </w:p>
    <w:p>
      <w:pPr>
        <w:ind w:firstLine="560"/>
        <w:spacing w:line="360" w:lineRule="auto"/>
        <w:rPr>
          <w:rFonts w:hint="default" w:ascii="仿宋_GB2312"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贵公司若成为本次政府采购项目的中标（成交）供应商，</w:t>
      </w:r>
      <w:r>
        <w:rPr>
          <w:rFonts w:hint="eastAsia" w:ascii="仿宋_GB2312" w:hAnsi="Times New Roman" w:eastAsia="仿宋_GB2312" w:cs="Times New Roman"/>
          <w:color w:val="auto"/>
          <w:sz w:val="28"/>
          <w:szCs w:val="28"/>
          <w:highlight w:val="none"/>
        </w:rPr>
        <w:t xml:space="preserve">可自愿选择</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w:t>
      </w:r>
      <w:r>
        <w:rPr>
          <w:rFonts w:hint="eastAsia" w:ascii="仿宋_GB2312" w:hAnsi="Times New Roman" w:eastAsia="仿宋_GB2312" w:cs="Times New Roman"/>
          <w:color w:val="auto"/>
          <w:sz w:val="28"/>
          <w:szCs w:val="28"/>
          <w:highlight w:val="none"/>
        </w:rPr>
        <w:t xml:space="preserve">形式替代履约保证金，也</w:t>
      </w:r>
      <w:r>
        <w:rPr>
          <w:rFonts w:hint="eastAsia" w:ascii="Times New Roman" w:hAnsi="Times New Roman" w:eastAsia="仿宋_GB2312" w:cs="Times New Roman"/>
          <w:color w:val="auto"/>
          <w:sz w:val="28"/>
          <w:szCs w:val="28"/>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color w:val="auto"/>
          <w:highlight w:val="none"/>
        </w:rPr>
      </w:pPr>
      <w:r>
        <w:rPr>
          <w:rFonts w:hint="eastAsia"/>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207"/>
      </w:rPr>
      <w:framePr w:wrap="around" w:vAnchor="text" w:hAnchor="margin" w:xAlign="center" w:y="1"/>
    </w:pPr>
    <w:r>
      <w:fldChar w:fldCharType="begin"/>
    </w:r>
    <w:r>
      <w:rPr>
        <w:rStyle w:val="1207"/>
      </w:rPr>
      <w:instrText xml:space="preserve">PAGE  </w:instrText>
    </w:r>
    <w:r>
      <w:fldChar w:fldCharType="separate"/>
    </w:r>
    <w:r>
      <w:rPr>
        <w:rStyle w:val="1207"/>
      </w:rPr>
      <w:t xml:space="preserve">1</w:t>
    </w:r>
    <w:r>
      <w:fldChar w:fldCharType="end"/>
    </w:r>
    <w:r/>
  </w:p>
  <w:p>
    <w:pPr>
      <w:pStyle w:val="11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20</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b/>
        <w:i/>
        <w:sz w:val="20"/>
      </w:rPr>
      <w:t xml:space="preserve"> </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2"/>
      <w:isLgl w:val="false"/>
      <w:suff w:val="nothing"/>
      <w:lvlText w:val=""/>
      <w:lvlJc w:val="left"/>
      <w:pPr>
        <w:ind w:left="0" w:firstLine="0"/>
      </w:pPr>
      <w:rPr>
        <w:rFonts w:hint="eastAsia"/>
      </w:rPr>
    </w:lvl>
    <w:lvl w:ilvl="6">
      <w:start w:val="1"/>
      <w:numFmt w:val="decimal"/>
      <w:pStyle w:val="1143"/>
      <w:isLgl w:val="false"/>
      <w:suff w:val="nothing"/>
      <w:lvlText w:val=""/>
      <w:lvlJc w:val="left"/>
      <w:pPr>
        <w:ind w:left="0" w:firstLine="0"/>
      </w:pPr>
      <w:rPr>
        <w:rFonts w:hint="eastAsia"/>
      </w:rPr>
    </w:lvl>
    <w:lvl w:ilvl="7">
      <w:start w:val="1"/>
      <w:numFmt w:val="decimal"/>
      <w:pStyle w:val="1144"/>
      <w:isLgl w:val="false"/>
      <w:suff w:val="nothing"/>
      <w:lvlText w:val=""/>
      <w:lvlJc w:val="left"/>
      <w:pPr>
        <w:ind w:left="0" w:firstLine="0"/>
      </w:pPr>
      <w:rPr>
        <w:rFonts w:hint="eastAsia"/>
      </w:rPr>
    </w:lvl>
    <w:lvl w:ilvl="8">
      <w:start w:val="1"/>
      <w:numFmt w:val="decimal"/>
      <w:pStyle w:val="1145"/>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7">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3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4"/>
      <w:numFmt w:val="chineseCounting"/>
      <w:isLgl w:val="false"/>
      <w:suff w:val="space"/>
      <w:lvlText w:val="第%1章"/>
      <w:lvlJc w:val="left"/>
      <w:pPr>
        <w:ind w:left="14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9"/>
  </w:num>
  <w:num w:numId="4">
    <w:abstractNumId w:val="1"/>
  </w:num>
  <w:num w:numId="5">
    <w:abstractNumId w:val="5"/>
  </w:num>
  <w:num w:numId="6">
    <w:abstractNumId w:val="7"/>
  </w:num>
  <w:num w:numId="7">
    <w:abstractNumId w:val="0"/>
  </w:num>
  <w:num w:numId="8">
    <w:abstractNumId w:val="4"/>
  </w:num>
  <w:num w:numId="9">
    <w:abstractNumId w:val="6"/>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2" w:default="1">
    <w:name w:val="Normal"/>
    <w:next w:val="954"/>
    <w:link w:val="125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3">
    <w:name w:val="Heading 1"/>
    <w:basedOn w:val="942"/>
    <w:next w:val="942"/>
    <w:link w:val="989"/>
    <w:uiPriority w:val="9"/>
    <w:qFormat/>
    <w:pPr>
      <w:keepLines/>
      <w:keepNext/>
      <w:spacing w:before="480" w:after="200"/>
      <w:outlineLvl w:val="0"/>
    </w:pPr>
    <w:rPr>
      <w:rFonts w:ascii="Arial" w:hAnsi="Arial" w:eastAsia="Arial" w:cs="Arial"/>
      <w:sz w:val="40"/>
      <w:szCs w:val="40"/>
    </w:rPr>
  </w:style>
  <w:style w:type="paragraph" w:styleId="944">
    <w:name w:val="Heading 2"/>
    <w:basedOn w:val="942"/>
    <w:next w:val="942"/>
    <w:link w:val="990"/>
    <w:uiPriority w:val="9"/>
    <w:unhideWhenUsed/>
    <w:qFormat/>
    <w:pPr>
      <w:keepLines/>
      <w:keepNext/>
      <w:spacing w:before="360" w:after="200"/>
      <w:outlineLvl w:val="1"/>
    </w:pPr>
    <w:rPr>
      <w:rFonts w:ascii="Arial" w:hAnsi="Arial" w:eastAsia="Arial" w:cs="Arial"/>
      <w:sz w:val="34"/>
    </w:rPr>
  </w:style>
  <w:style w:type="paragraph" w:styleId="945">
    <w:name w:val="Heading 3"/>
    <w:basedOn w:val="942"/>
    <w:next w:val="942"/>
    <w:link w:val="991"/>
    <w:uiPriority w:val="9"/>
    <w:unhideWhenUsed/>
    <w:qFormat/>
    <w:pPr>
      <w:keepLines/>
      <w:keepNext/>
      <w:spacing w:before="320" w:after="200"/>
      <w:outlineLvl w:val="2"/>
    </w:pPr>
    <w:rPr>
      <w:rFonts w:ascii="Arial" w:hAnsi="Arial" w:eastAsia="Arial" w:cs="Arial"/>
      <w:sz w:val="30"/>
      <w:szCs w:val="30"/>
    </w:rPr>
  </w:style>
  <w:style w:type="paragraph" w:styleId="946">
    <w:name w:val="Heading 4"/>
    <w:basedOn w:val="942"/>
    <w:next w:val="942"/>
    <w:link w:val="992"/>
    <w:uiPriority w:val="9"/>
    <w:unhideWhenUsed/>
    <w:qFormat/>
    <w:pPr>
      <w:keepLines/>
      <w:keepNext/>
      <w:spacing w:before="320" w:after="200"/>
      <w:outlineLvl w:val="3"/>
    </w:pPr>
    <w:rPr>
      <w:rFonts w:ascii="Arial" w:hAnsi="Arial" w:eastAsia="Arial" w:cs="Arial"/>
      <w:b/>
      <w:bCs/>
      <w:sz w:val="26"/>
      <w:szCs w:val="26"/>
    </w:rPr>
  </w:style>
  <w:style w:type="paragraph" w:styleId="947">
    <w:name w:val="Heading 5"/>
    <w:basedOn w:val="942"/>
    <w:next w:val="942"/>
    <w:link w:val="993"/>
    <w:uiPriority w:val="9"/>
    <w:unhideWhenUsed/>
    <w:qFormat/>
    <w:pPr>
      <w:keepLines/>
      <w:keepNext/>
      <w:spacing w:before="320" w:after="200"/>
      <w:outlineLvl w:val="4"/>
    </w:pPr>
    <w:rPr>
      <w:rFonts w:ascii="Arial" w:hAnsi="Arial" w:eastAsia="Arial" w:cs="Arial"/>
      <w:b/>
      <w:bCs/>
      <w:sz w:val="24"/>
      <w:szCs w:val="24"/>
    </w:rPr>
  </w:style>
  <w:style w:type="paragraph" w:styleId="948">
    <w:name w:val="Heading 6"/>
    <w:basedOn w:val="942"/>
    <w:next w:val="942"/>
    <w:link w:val="994"/>
    <w:uiPriority w:val="9"/>
    <w:unhideWhenUsed/>
    <w:qFormat/>
    <w:pPr>
      <w:keepLines/>
      <w:keepNext/>
      <w:spacing w:before="320" w:after="200"/>
      <w:outlineLvl w:val="5"/>
    </w:pPr>
    <w:rPr>
      <w:rFonts w:ascii="Arial" w:hAnsi="Arial" w:eastAsia="Arial" w:cs="Arial"/>
      <w:b/>
      <w:bCs/>
      <w:sz w:val="22"/>
      <w:szCs w:val="22"/>
    </w:rPr>
  </w:style>
  <w:style w:type="paragraph" w:styleId="949">
    <w:name w:val="Heading 7"/>
    <w:basedOn w:val="942"/>
    <w:next w:val="942"/>
    <w:link w:val="995"/>
    <w:uiPriority w:val="9"/>
    <w:unhideWhenUsed/>
    <w:qFormat/>
    <w:pPr>
      <w:keepLines/>
      <w:keepNext/>
      <w:spacing w:before="320" w:after="200"/>
      <w:outlineLvl w:val="6"/>
    </w:pPr>
    <w:rPr>
      <w:rFonts w:ascii="Arial" w:hAnsi="Arial" w:eastAsia="Arial" w:cs="Arial"/>
      <w:b/>
      <w:bCs/>
      <w:i/>
      <w:iCs/>
      <w:sz w:val="22"/>
      <w:szCs w:val="22"/>
    </w:rPr>
  </w:style>
  <w:style w:type="paragraph" w:styleId="950">
    <w:name w:val="Heading 8"/>
    <w:basedOn w:val="942"/>
    <w:next w:val="942"/>
    <w:link w:val="996"/>
    <w:uiPriority w:val="9"/>
    <w:unhideWhenUsed/>
    <w:qFormat/>
    <w:pPr>
      <w:keepLines/>
      <w:keepNext/>
      <w:spacing w:before="320" w:after="200"/>
      <w:outlineLvl w:val="7"/>
    </w:pPr>
    <w:rPr>
      <w:rFonts w:ascii="Arial" w:hAnsi="Arial" w:eastAsia="Arial" w:cs="Arial"/>
      <w:i/>
      <w:iCs/>
      <w:sz w:val="22"/>
      <w:szCs w:val="22"/>
    </w:rPr>
  </w:style>
  <w:style w:type="paragraph" w:styleId="951">
    <w:name w:val="Heading 9"/>
    <w:basedOn w:val="942"/>
    <w:next w:val="942"/>
    <w:link w:val="997"/>
    <w:uiPriority w:val="9"/>
    <w:unhideWhenUsed/>
    <w:qFormat/>
    <w:pPr>
      <w:keepLines/>
      <w:keepNext/>
      <w:spacing w:before="320" w:after="200"/>
      <w:outlineLvl w:val="8"/>
    </w:pPr>
    <w:rPr>
      <w:rFonts w:ascii="Arial" w:hAnsi="Arial" w:eastAsia="Arial" w:cs="Arial"/>
      <w:i/>
      <w:iCs/>
      <w:sz w:val="21"/>
      <w:szCs w:val="21"/>
    </w:rPr>
  </w:style>
  <w:style w:type="character" w:styleId="952" w:default="1">
    <w:name w:val="Default Paragraph Font"/>
    <w:uiPriority w:val="1"/>
    <w:semiHidden/>
    <w:unhideWhenUsed/>
    <w:qFormat/>
  </w:style>
  <w:style w:type="table" w:styleId="953" w:default="1">
    <w:name w:val="Normal Table"/>
    <w:uiPriority w:val="99"/>
    <w:semiHidden/>
    <w:unhideWhenUsed/>
    <w:qFormat/>
    <w:tblPr>
      <w:tblCellMar>
        <w:left w:w="108" w:type="dxa"/>
        <w:top w:w="0" w:type="dxa"/>
        <w:right w:w="108" w:type="dxa"/>
        <w:bottom w:w="0" w:type="dxa"/>
      </w:tblCellMar>
    </w:tblPr>
  </w:style>
  <w:style w:type="paragraph" w:styleId="954" w:customStyle="1">
    <w:name w:val="标题 211"/>
    <w:basedOn w:val="942"/>
    <w:next w:val="942"/>
    <w:uiPriority w:val="99"/>
    <w:qFormat/>
    <w:pPr>
      <w:jc w:val="left"/>
      <w:keepLines/>
      <w:keepNext/>
      <w:outlineLvl w:val="1"/>
    </w:pPr>
    <w:rPr>
      <w:rFonts w:ascii="宋体" w:hAnsi="宋体" w:eastAsia="楷体_GB2312" w:cs="宋体"/>
      <w:b/>
      <w:bCs/>
      <w:sz w:val="26"/>
      <w:szCs w:val="26"/>
    </w:rPr>
  </w:style>
  <w:style w:type="paragraph" w:styleId="955">
    <w:name w:val="toc 7"/>
    <w:basedOn w:val="942"/>
    <w:next w:val="942"/>
    <w:uiPriority w:val="39"/>
    <w:unhideWhenUsed/>
    <w:qFormat/>
    <w:pPr>
      <w:ind w:left="1701" w:right="0" w:firstLine="0"/>
      <w:spacing w:after="57"/>
    </w:pPr>
  </w:style>
  <w:style w:type="paragraph" w:styleId="956">
    <w:name w:val="Normal Indent"/>
    <w:basedOn w:val="942"/>
    <w:next w:val="942"/>
    <w:uiPriority w:val="0"/>
    <w:qFormat/>
    <w:pPr>
      <w:ind w:firstLine="420"/>
    </w:pPr>
  </w:style>
  <w:style w:type="paragraph" w:styleId="957">
    <w:name w:val="Caption"/>
    <w:basedOn w:val="942"/>
    <w:next w:val="9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8">
    <w:name w:val="index 5"/>
    <w:basedOn w:val="942"/>
    <w:next w:val="942"/>
    <w:uiPriority w:val="99"/>
    <w:unhideWhenUsed/>
    <w:qFormat/>
    <w:pPr>
      <w:ind w:left="1050" w:hanging="210"/>
      <w:jc w:val="left"/>
    </w:pPr>
    <w:rPr>
      <w:rFonts w:hint="default"/>
      <w:sz w:val="18"/>
      <w:szCs w:val="24"/>
      <w:lang w:eastAsia="zh-TW"/>
    </w:rPr>
  </w:style>
  <w:style w:type="paragraph" w:styleId="959">
    <w:name w:val="Body Text"/>
    <w:basedOn w:val="942"/>
    <w:next w:val="960"/>
    <w:uiPriority w:val="0"/>
    <w:qFormat/>
    <w:rPr>
      <w:rFonts w:ascii="楷体_GB2312" w:hAnsi="Arial" w:eastAsia="楷体_GB2312" w:cs="Times New Roman"/>
      <w:sz w:val="28"/>
      <w:szCs w:val="28"/>
    </w:rPr>
  </w:style>
  <w:style w:type="paragraph" w:styleId="960">
    <w:name w:val="Subtitle"/>
    <w:basedOn w:val="942"/>
    <w:next w:val="942"/>
    <w:link w:val="1001"/>
    <w:uiPriority w:val="11"/>
    <w:qFormat/>
    <w:pPr>
      <w:spacing w:before="200" w:after="200"/>
    </w:pPr>
    <w:rPr>
      <w:sz w:val="24"/>
      <w:szCs w:val="24"/>
    </w:rPr>
  </w:style>
  <w:style w:type="paragraph" w:styleId="961">
    <w:name w:val="Body Text Indent"/>
    <w:basedOn w:val="942"/>
    <w:next w:val="962"/>
    <w:uiPriority w:val="0"/>
    <w:unhideWhenUsed/>
    <w:qFormat/>
    <w:pPr>
      <w:ind w:left="420"/>
      <w:spacing w:after="120"/>
    </w:pPr>
  </w:style>
  <w:style w:type="paragraph" w:styleId="962">
    <w:name w:val="envelope return"/>
    <w:basedOn w:val="942"/>
    <w:next w:val="955"/>
    <w:uiPriority w:val="99"/>
    <w:qFormat/>
    <w:rPr>
      <w:rFonts w:ascii="Arial" w:hAnsi="Arial" w:cs="Arial"/>
    </w:rPr>
  </w:style>
  <w:style w:type="paragraph" w:styleId="963">
    <w:name w:val="toc 5"/>
    <w:basedOn w:val="942"/>
    <w:next w:val="942"/>
    <w:uiPriority w:val="39"/>
    <w:unhideWhenUsed/>
    <w:qFormat/>
    <w:pPr>
      <w:ind w:left="1134" w:right="0" w:firstLine="0"/>
      <w:spacing w:after="57"/>
    </w:pPr>
  </w:style>
  <w:style w:type="paragraph" w:styleId="964">
    <w:name w:val="toc 3"/>
    <w:basedOn w:val="942"/>
    <w:next w:val="942"/>
    <w:uiPriority w:val="39"/>
    <w:unhideWhenUsed/>
    <w:qFormat/>
    <w:pPr>
      <w:ind w:left="567" w:right="0" w:firstLine="0"/>
      <w:spacing w:after="57"/>
    </w:pPr>
  </w:style>
  <w:style w:type="paragraph" w:styleId="965">
    <w:name w:val="toc 8"/>
    <w:basedOn w:val="942"/>
    <w:next w:val="942"/>
    <w:uiPriority w:val="39"/>
    <w:unhideWhenUsed/>
    <w:qFormat/>
    <w:pPr>
      <w:ind w:left="1984" w:right="0" w:firstLine="0"/>
      <w:spacing w:after="57"/>
    </w:pPr>
  </w:style>
  <w:style w:type="paragraph" w:styleId="966">
    <w:name w:val="endnote text"/>
    <w:basedOn w:val="942"/>
    <w:link w:val="1135"/>
    <w:uiPriority w:val="99"/>
    <w:semiHidden/>
    <w:unhideWhenUsed/>
    <w:qFormat/>
    <w:pPr>
      <w:spacing w:after="0" w:line="240" w:lineRule="auto"/>
    </w:pPr>
    <w:rPr>
      <w:sz w:val="20"/>
    </w:rPr>
  </w:style>
  <w:style w:type="paragraph" w:styleId="967">
    <w:name w:val="Footer"/>
    <w:basedOn w:val="942"/>
    <w:link w:val="1008"/>
    <w:uiPriority w:val="99"/>
    <w:unhideWhenUsed/>
    <w:qFormat/>
    <w:pPr>
      <w:spacing w:after="0" w:line="240" w:lineRule="auto"/>
      <w:tabs>
        <w:tab w:val="center" w:pos="7143" w:leader="none"/>
        <w:tab w:val="right" w:pos="14287" w:leader="none"/>
      </w:tabs>
    </w:pPr>
  </w:style>
  <w:style w:type="paragraph" w:styleId="968">
    <w:name w:val="Header"/>
    <w:basedOn w:val="942"/>
    <w:link w:val="1006"/>
    <w:uiPriority w:val="99"/>
    <w:unhideWhenUsed/>
    <w:qFormat/>
    <w:pPr>
      <w:spacing w:after="0" w:line="240" w:lineRule="auto"/>
      <w:tabs>
        <w:tab w:val="center" w:pos="7143" w:leader="none"/>
        <w:tab w:val="right" w:pos="14287" w:leader="none"/>
      </w:tabs>
    </w:pPr>
  </w:style>
  <w:style w:type="paragraph" w:styleId="969">
    <w:name w:val="toc 1"/>
    <w:basedOn w:val="942"/>
    <w:next w:val="942"/>
    <w:uiPriority w:val="39"/>
    <w:unhideWhenUsed/>
    <w:qFormat/>
    <w:pPr>
      <w:ind w:left="0" w:right="0" w:firstLine="0"/>
      <w:spacing w:after="57"/>
    </w:pPr>
  </w:style>
  <w:style w:type="paragraph" w:styleId="970">
    <w:name w:val="toc 4"/>
    <w:basedOn w:val="942"/>
    <w:next w:val="942"/>
    <w:uiPriority w:val="39"/>
    <w:unhideWhenUsed/>
    <w:qFormat/>
    <w:pPr>
      <w:ind w:left="850" w:right="0" w:firstLine="0"/>
      <w:spacing w:after="57"/>
    </w:pPr>
  </w:style>
  <w:style w:type="paragraph" w:styleId="971">
    <w:name w:val="footnote text"/>
    <w:basedOn w:val="942"/>
    <w:link w:val="1134"/>
    <w:uiPriority w:val="99"/>
    <w:semiHidden/>
    <w:unhideWhenUsed/>
    <w:qFormat/>
    <w:pPr>
      <w:spacing w:after="40" w:line="240" w:lineRule="auto"/>
    </w:pPr>
    <w:rPr>
      <w:sz w:val="18"/>
    </w:rPr>
  </w:style>
  <w:style w:type="paragraph" w:styleId="972">
    <w:name w:val="toc 6"/>
    <w:basedOn w:val="942"/>
    <w:next w:val="942"/>
    <w:uiPriority w:val="39"/>
    <w:unhideWhenUsed/>
    <w:qFormat/>
    <w:pPr>
      <w:ind w:left="1417" w:right="0" w:firstLine="0"/>
      <w:spacing w:after="57"/>
    </w:pPr>
  </w:style>
  <w:style w:type="paragraph" w:styleId="973">
    <w:name w:val="table of figures"/>
    <w:basedOn w:val="942"/>
    <w:next w:val="942"/>
    <w:uiPriority w:val="99"/>
    <w:unhideWhenUsed/>
    <w:qFormat/>
    <w:pPr>
      <w:spacing w:after="0" w:afterAutospacing="0"/>
    </w:pPr>
  </w:style>
  <w:style w:type="paragraph" w:styleId="974">
    <w:name w:val="toc 2"/>
    <w:basedOn w:val="942"/>
    <w:next w:val="942"/>
    <w:uiPriority w:val="39"/>
    <w:unhideWhenUsed/>
    <w:qFormat/>
    <w:pPr>
      <w:ind w:left="283" w:right="0" w:firstLine="0"/>
      <w:spacing w:after="57"/>
    </w:pPr>
  </w:style>
  <w:style w:type="paragraph" w:styleId="975">
    <w:name w:val="toc 9"/>
    <w:basedOn w:val="942"/>
    <w:next w:val="942"/>
    <w:uiPriority w:val="39"/>
    <w:unhideWhenUsed/>
    <w:qFormat/>
    <w:pPr>
      <w:ind w:left="2268" w:right="0" w:firstLine="0"/>
      <w:spacing w:after="57"/>
    </w:pPr>
  </w:style>
  <w:style w:type="paragraph" w:styleId="976">
    <w:name w:val="Normal (Web)"/>
    <w:basedOn w:val="942"/>
    <w:uiPriority w:val="99"/>
    <w:semiHidden/>
    <w:unhideWhenUsed/>
    <w:qFormat/>
    <w:pPr>
      <w:ind w:left="0" w:right="0"/>
      <w:jc w:val="left"/>
      <w:spacing w:before="0" w:beforeAutospacing="1" w:after="0" w:afterAutospacing="1"/>
    </w:pPr>
    <w:rPr>
      <w:sz w:val="24"/>
      <w:lang w:val="en-US" w:eastAsia="zh-CN" w:bidi="ar"/>
    </w:rPr>
  </w:style>
  <w:style w:type="paragraph" w:styleId="977">
    <w:name w:val="Title"/>
    <w:basedOn w:val="942"/>
    <w:next w:val="942"/>
    <w:link w:val="1000"/>
    <w:uiPriority w:val="10"/>
    <w:qFormat/>
    <w:pPr>
      <w:contextualSpacing/>
      <w:spacing w:before="300" w:after="200"/>
    </w:pPr>
    <w:rPr>
      <w:sz w:val="48"/>
      <w:szCs w:val="48"/>
    </w:rPr>
  </w:style>
  <w:style w:type="paragraph" w:styleId="978">
    <w:name w:val="Body Text First Indent 2"/>
    <w:basedOn w:val="961"/>
    <w:uiPriority w:val="0"/>
    <w:qFormat/>
    <w:pPr>
      <w:ind w:left="0" w:firstLine="420"/>
      <w:spacing w:after="0" w:line="360" w:lineRule="auto"/>
    </w:pPr>
    <w:rPr>
      <w:rFonts w:ascii="宋体" w:hAnsi="宋体" w:eastAsia="宋体" w:cs="Times New Roman"/>
      <w:szCs w:val="20"/>
    </w:rPr>
  </w:style>
  <w:style w:type="table" w:styleId="9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0">
    <w:name w:val="Strong"/>
    <w:basedOn w:val="952"/>
    <w:uiPriority w:val="22"/>
    <w:qFormat/>
    <w:rPr>
      <w:b/>
    </w:rPr>
  </w:style>
  <w:style w:type="character" w:styleId="981">
    <w:name w:val="endnote reference"/>
    <w:uiPriority w:val="99"/>
    <w:semiHidden/>
    <w:unhideWhenUsed/>
    <w:qFormat/>
    <w:rPr>
      <w:vertAlign w:val="superscript"/>
    </w:rPr>
  </w:style>
  <w:style w:type="character" w:styleId="982">
    <w:name w:val="FollowedHyperlink"/>
    <w:basedOn w:val="952"/>
    <w:uiPriority w:val="99"/>
    <w:semiHidden/>
    <w:unhideWhenUsed/>
    <w:qFormat/>
    <w:rPr>
      <w:color w:val="333333"/>
      <w:u w:val="none"/>
    </w:rPr>
  </w:style>
  <w:style w:type="character" w:styleId="983">
    <w:name w:val="Hyperlink"/>
    <w:uiPriority w:val="99"/>
    <w:unhideWhenUsed/>
    <w:qFormat/>
    <w:rPr>
      <w:color w:val="0000ff" w:themeColor="hyperlink"/>
      <w:u w:val="single"/>
      <w14:textFill>
        <w14:solidFill>
          <w14:schemeClr w14:val="hlink"/>
        </w14:solidFill>
      </w14:textFill>
    </w:rPr>
  </w:style>
  <w:style w:type="character" w:styleId="984">
    <w:name w:val="annotation reference"/>
    <w:uiPriority w:val="0"/>
    <w:qFormat/>
    <w:rPr>
      <w:sz w:val="21"/>
      <w:szCs w:val="21"/>
    </w:rPr>
  </w:style>
  <w:style w:type="character" w:styleId="985">
    <w:name w:val="footnote reference"/>
    <w:uiPriority w:val="99"/>
    <w:unhideWhenUsed/>
    <w:qFormat/>
    <w:rPr>
      <w:vertAlign w:val="superscript"/>
    </w:rPr>
  </w:style>
  <w:style w:type="paragraph" w:styleId="986" w:customStyle="1">
    <w:name w:val="目录 11"/>
    <w:basedOn w:val="942"/>
    <w:next w:val="94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7" w:customStyle="1">
    <w:name w:val="信息标题1"/>
    <w:basedOn w:val="942"/>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988" w:customStyle="1">
    <w:name w:val="标题 21"/>
    <w:basedOn w:val="942"/>
    <w:next w:val="942"/>
    <w:link w:val="1151"/>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89" w:customStyle="1">
    <w:name w:val="Heading 1 Char"/>
    <w:link w:val="943"/>
    <w:uiPriority w:val="9"/>
    <w:qFormat/>
    <w:rPr>
      <w:rFonts w:ascii="Arial" w:hAnsi="Arial" w:eastAsia="Arial" w:cs="Arial"/>
      <w:sz w:val="40"/>
      <w:szCs w:val="40"/>
    </w:rPr>
  </w:style>
  <w:style w:type="character" w:styleId="990" w:customStyle="1">
    <w:name w:val="Heading 2 Char"/>
    <w:link w:val="944"/>
    <w:uiPriority w:val="9"/>
    <w:qFormat/>
    <w:rPr>
      <w:rFonts w:ascii="Arial" w:hAnsi="Arial" w:eastAsia="Arial" w:cs="Arial"/>
      <w:sz w:val="34"/>
    </w:rPr>
  </w:style>
  <w:style w:type="character" w:styleId="991" w:customStyle="1">
    <w:name w:val="Heading 3 Char"/>
    <w:link w:val="945"/>
    <w:uiPriority w:val="9"/>
    <w:qFormat/>
    <w:rPr>
      <w:rFonts w:ascii="Arial" w:hAnsi="Arial" w:eastAsia="Arial" w:cs="Arial"/>
      <w:sz w:val="30"/>
      <w:szCs w:val="30"/>
    </w:rPr>
  </w:style>
  <w:style w:type="character" w:styleId="992" w:customStyle="1">
    <w:name w:val="Heading 4 Char"/>
    <w:link w:val="946"/>
    <w:uiPriority w:val="9"/>
    <w:qFormat/>
    <w:rPr>
      <w:rFonts w:ascii="Arial" w:hAnsi="Arial" w:eastAsia="Arial" w:cs="Arial"/>
      <w:b/>
      <w:bCs/>
      <w:sz w:val="26"/>
      <w:szCs w:val="26"/>
    </w:rPr>
  </w:style>
  <w:style w:type="character" w:styleId="993" w:customStyle="1">
    <w:name w:val="Heading 5 Char"/>
    <w:link w:val="947"/>
    <w:uiPriority w:val="9"/>
    <w:qFormat/>
    <w:rPr>
      <w:rFonts w:ascii="Arial" w:hAnsi="Arial" w:eastAsia="Arial" w:cs="Arial"/>
      <w:b/>
      <w:bCs/>
      <w:sz w:val="24"/>
      <w:szCs w:val="24"/>
    </w:rPr>
  </w:style>
  <w:style w:type="character" w:styleId="994" w:customStyle="1">
    <w:name w:val="Heading 6 Char"/>
    <w:link w:val="948"/>
    <w:uiPriority w:val="9"/>
    <w:qFormat/>
    <w:rPr>
      <w:rFonts w:ascii="Arial" w:hAnsi="Arial" w:eastAsia="Arial" w:cs="Arial"/>
      <w:b/>
      <w:bCs/>
      <w:sz w:val="22"/>
      <w:szCs w:val="22"/>
    </w:rPr>
  </w:style>
  <w:style w:type="character" w:styleId="995" w:customStyle="1">
    <w:name w:val="Heading 7 Char"/>
    <w:link w:val="949"/>
    <w:uiPriority w:val="9"/>
    <w:qFormat/>
    <w:rPr>
      <w:rFonts w:ascii="Arial" w:hAnsi="Arial" w:eastAsia="Arial" w:cs="Arial"/>
      <w:b/>
      <w:bCs/>
      <w:i/>
      <w:iCs/>
      <w:sz w:val="22"/>
      <w:szCs w:val="22"/>
    </w:rPr>
  </w:style>
  <w:style w:type="character" w:styleId="996" w:customStyle="1">
    <w:name w:val="Heading 8 Char"/>
    <w:link w:val="950"/>
    <w:uiPriority w:val="9"/>
    <w:qFormat/>
    <w:rPr>
      <w:rFonts w:ascii="Arial" w:hAnsi="Arial" w:eastAsia="Arial" w:cs="Arial"/>
      <w:i/>
      <w:iCs/>
      <w:sz w:val="22"/>
      <w:szCs w:val="22"/>
    </w:rPr>
  </w:style>
  <w:style w:type="character" w:styleId="997" w:customStyle="1">
    <w:name w:val="Heading 9 Char"/>
    <w:link w:val="951"/>
    <w:uiPriority w:val="9"/>
    <w:qFormat/>
    <w:rPr>
      <w:rFonts w:ascii="Arial" w:hAnsi="Arial" w:eastAsia="Arial" w:cs="Arial"/>
      <w:i/>
      <w:iCs/>
      <w:sz w:val="21"/>
      <w:szCs w:val="21"/>
    </w:rPr>
  </w:style>
  <w:style w:type="paragraph" w:styleId="998">
    <w:name w:val="List Paragraph"/>
    <w:basedOn w:val="942"/>
    <w:uiPriority w:val="34"/>
    <w:qFormat/>
    <w:pPr>
      <w:contextualSpacing/>
      <w:ind w:left="720"/>
    </w:pPr>
  </w:style>
  <w:style w:type="paragraph" w:styleId="999">
    <w:name w:val="No Spacing"/>
    <w:uiPriority w:val="1"/>
    <w:qFormat/>
    <w:pPr>
      <w:spacing w:before="0" w:after="0" w:line="240" w:lineRule="auto"/>
    </w:pPr>
    <w:rPr>
      <w:rFonts w:hint="default" w:ascii="Times New Roman" w:hAnsi="Times New Roman" w:eastAsia="宋体" w:cs="Times New Roman"/>
    </w:rPr>
  </w:style>
  <w:style w:type="character" w:styleId="1000" w:customStyle="1">
    <w:name w:val="Title Char"/>
    <w:link w:val="977"/>
    <w:uiPriority w:val="10"/>
    <w:qFormat/>
    <w:rPr>
      <w:sz w:val="48"/>
      <w:szCs w:val="48"/>
    </w:rPr>
  </w:style>
  <w:style w:type="character" w:styleId="1001" w:customStyle="1">
    <w:name w:val="Subtitle Char"/>
    <w:link w:val="960"/>
    <w:uiPriority w:val="11"/>
    <w:qFormat/>
    <w:rPr>
      <w:sz w:val="24"/>
      <w:szCs w:val="24"/>
    </w:rPr>
  </w:style>
  <w:style w:type="paragraph" w:styleId="1002">
    <w:name w:val="Quote"/>
    <w:basedOn w:val="942"/>
    <w:next w:val="942"/>
    <w:link w:val="1003"/>
    <w:uiPriority w:val="29"/>
    <w:qFormat/>
    <w:pPr>
      <w:ind w:left="720" w:right="720"/>
    </w:pPr>
    <w:rPr>
      <w:i/>
    </w:rPr>
  </w:style>
  <w:style w:type="character" w:styleId="1003" w:customStyle="1">
    <w:name w:val="Quote Char"/>
    <w:link w:val="1002"/>
    <w:uiPriority w:val="29"/>
    <w:qFormat/>
    <w:rPr>
      <w:i/>
    </w:rPr>
  </w:style>
  <w:style w:type="paragraph" w:styleId="1004">
    <w:name w:val="Intense Quote"/>
    <w:basedOn w:val="942"/>
    <w:next w:val="942"/>
    <w:link w:val="10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customStyle="1">
    <w:name w:val="Intense Quote Char"/>
    <w:link w:val="1004"/>
    <w:uiPriority w:val="30"/>
    <w:qFormat/>
    <w:rPr>
      <w:i/>
    </w:rPr>
  </w:style>
  <w:style w:type="character" w:styleId="1006" w:customStyle="1">
    <w:name w:val="Header Char"/>
    <w:link w:val="968"/>
    <w:uiPriority w:val="99"/>
    <w:qFormat/>
  </w:style>
  <w:style w:type="character" w:styleId="1007" w:customStyle="1">
    <w:name w:val="Footer Char"/>
    <w:link w:val="967"/>
    <w:uiPriority w:val="99"/>
    <w:qFormat/>
  </w:style>
  <w:style w:type="character" w:styleId="1008" w:customStyle="1">
    <w:name w:val="Caption Char"/>
    <w:link w:val="967"/>
    <w:uiPriority w:val="99"/>
    <w:qFormat/>
  </w:style>
  <w:style w:type="table" w:styleId="10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4" w:customStyle="1">
    <w:name w:val="Footnote Text Char"/>
    <w:link w:val="971"/>
    <w:uiPriority w:val="99"/>
    <w:qFormat/>
    <w:rPr>
      <w:sz w:val="18"/>
    </w:rPr>
  </w:style>
  <w:style w:type="character" w:styleId="1135" w:customStyle="1">
    <w:name w:val="Endnote Text Char"/>
    <w:link w:val="966"/>
    <w:uiPriority w:val="99"/>
    <w:qFormat/>
    <w:rPr>
      <w:sz w:val="20"/>
    </w:rPr>
  </w:style>
  <w:style w:type="paragraph" w:styleId="1136" w:customStyle="1">
    <w:name w:val="TOC Heading"/>
    <w:uiPriority w:val="39"/>
    <w:unhideWhenUsed/>
    <w:qFormat/>
    <w:rPr>
      <w:rFonts w:hint="default" w:ascii="Times New Roman" w:hAnsi="Times New Roman" w:eastAsia="宋体" w:cs="Times New Roman"/>
    </w:rPr>
  </w:style>
  <w:style w:type="paragraph" w:styleId="1137" w:customStyle="1">
    <w:name w:val="标题 11"/>
    <w:basedOn w:val="942"/>
    <w:next w:val="942"/>
    <w:link w:val="1150"/>
    <w:uiPriority w:val="0"/>
    <w:qFormat/>
    <w:pPr>
      <w:jc w:val="center"/>
      <w:keepNext/>
      <w:outlineLvl w:val="0"/>
    </w:pPr>
    <w:rPr>
      <w:rFonts w:ascii="楷体_GB2312" w:hAnsi="Times New Roman" w:eastAsia="楷体_GB2312" w:cs="Times New Roman"/>
      <w:sz w:val="28"/>
      <w:szCs w:val="28"/>
    </w:rPr>
  </w:style>
  <w:style w:type="paragraph" w:styleId="1138" w:customStyle="1">
    <w:name w:val="正文缩进1"/>
    <w:basedOn w:val="942"/>
    <w:link w:val="1152"/>
    <w:uiPriority w:val="0"/>
    <w:qFormat/>
    <w:pPr>
      <w:ind w:firstLine="420"/>
    </w:pPr>
    <w:rPr>
      <w:szCs w:val="21"/>
    </w:rPr>
  </w:style>
  <w:style w:type="paragraph" w:styleId="1139" w:customStyle="1">
    <w:name w:val="标题 31"/>
    <w:basedOn w:val="942"/>
    <w:next w:val="942"/>
    <w:link w:val="115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40" w:customStyle="1">
    <w:name w:val="标题 41"/>
    <w:basedOn w:val="942"/>
    <w:next w:val="1138"/>
    <w:link w:val="1154"/>
    <w:uiPriority w:val="0"/>
    <w:qFormat/>
    <w:pPr>
      <w:keepLines/>
      <w:keepNext/>
      <w:spacing w:before="280" w:after="290" w:line="376" w:lineRule="auto"/>
      <w:outlineLvl w:val="3"/>
    </w:pPr>
    <w:rPr>
      <w:rFonts w:ascii="Arial" w:hAnsi="Arial" w:eastAsia="黑体" w:cs="Arial"/>
      <w:b/>
      <w:bCs/>
      <w:sz w:val="28"/>
      <w:szCs w:val="28"/>
    </w:rPr>
  </w:style>
  <w:style w:type="paragraph" w:styleId="1141" w:customStyle="1">
    <w:name w:val="标题 51"/>
    <w:basedOn w:val="942"/>
    <w:next w:val="1138"/>
    <w:link w:val="1155"/>
    <w:uiPriority w:val="0"/>
    <w:qFormat/>
    <w:pPr>
      <w:keepNext/>
      <w:outlineLvl w:val="4"/>
    </w:pPr>
    <w:rPr>
      <w:rFonts w:ascii="宋体" w:hAnsi="Times New Roman" w:eastAsia="宋体" w:cs="Times New Roman"/>
      <w:color w:val="000000"/>
      <w:sz w:val="28"/>
      <w:szCs w:val="28"/>
    </w:rPr>
  </w:style>
  <w:style w:type="paragraph" w:styleId="1142" w:customStyle="1">
    <w:name w:val="标题 61"/>
    <w:basedOn w:val="942"/>
    <w:next w:val="942"/>
    <w:link w:val="115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43" w:customStyle="1">
    <w:name w:val="标题 71"/>
    <w:basedOn w:val="942"/>
    <w:next w:val="942"/>
    <w:link w:val="115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44" w:customStyle="1">
    <w:name w:val="标题 81"/>
    <w:basedOn w:val="942"/>
    <w:next w:val="942"/>
    <w:link w:val="115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45" w:customStyle="1">
    <w:name w:val="标题 91"/>
    <w:basedOn w:val="942"/>
    <w:next w:val="942"/>
    <w:link w:val="115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46" w:customStyle="1">
    <w:name w:val="默认段落字体1"/>
    <w:link w:val="942"/>
    <w:uiPriority w:val="1"/>
    <w:unhideWhenUsed/>
    <w:qFormat/>
  </w:style>
  <w:style w:type="table" w:styleId="1147" w:customStyle="1">
    <w:name w:val="普通表格1"/>
    <w:uiPriority w:val="99"/>
    <w:unhideWhenUsed/>
    <w:qFormat/>
    <w:tblPr/>
  </w:style>
  <w:style w:type="paragraph" w:styleId="1148" w:customStyle="1">
    <w:name w:val="正文文本11"/>
    <w:basedOn w:val="942"/>
    <w:next w:val="942"/>
    <w:link w:val="1149"/>
    <w:uiPriority w:val="0"/>
    <w:qFormat/>
    <w:rPr>
      <w:rFonts w:ascii="楷体_GB2312" w:hAnsi="Arial" w:eastAsia="楷体_GB2312" w:cs="Times New Roman"/>
      <w:sz w:val="28"/>
      <w:szCs w:val="28"/>
    </w:rPr>
  </w:style>
  <w:style w:type="character" w:styleId="1149" w:customStyle="1">
    <w:name w:val="正文文本 Char"/>
    <w:link w:val="1148"/>
    <w:uiPriority w:val="0"/>
    <w:qFormat/>
    <w:rPr>
      <w:rFonts w:ascii="楷体_GB2312" w:hAnsi="Arial" w:eastAsia="楷体_GB2312" w:cs="Times New Roman"/>
      <w:sz w:val="28"/>
      <w:szCs w:val="28"/>
    </w:rPr>
  </w:style>
  <w:style w:type="character" w:styleId="1150" w:customStyle="1">
    <w:name w:val="标题 1 Char"/>
    <w:link w:val="1137"/>
    <w:uiPriority w:val="0"/>
    <w:qFormat/>
    <w:rPr>
      <w:rFonts w:ascii="楷体_GB2312" w:hAnsi="Times New Roman" w:eastAsia="楷体_GB2312" w:cs="Times New Roman"/>
      <w:sz w:val="28"/>
      <w:szCs w:val="28"/>
    </w:rPr>
  </w:style>
  <w:style w:type="character" w:styleId="1151" w:customStyle="1">
    <w:name w:val="标题 2 Char"/>
    <w:link w:val="988"/>
    <w:uiPriority w:val="0"/>
    <w:qFormat/>
    <w:rPr>
      <w:rFonts w:ascii="Arial" w:hAnsi="Arial" w:eastAsia="幼圆" w:cs="Arial"/>
      <w:b/>
      <w:bCs/>
      <w:sz w:val="44"/>
      <w:szCs w:val="44"/>
    </w:rPr>
  </w:style>
  <w:style w:type="character" w:styleId="1152" w:customStyle="1">
    <w:name w:val="正文缩进 Char"/>
    <w:link w:val="1138"/>
    <w:uiPriority w:val="0"/>
    <w:qFormat/>
    <w:rPr>
      <w:szCs w:val="21"/>
    </w:rPr>
  </w:style>
  <w:style w:type="character" w:styleId="1153" w:customStyle="1">
    <w:name w:val="标题 3 Char"/>
    <w:link w:val="1139"/>
    <w:uiPriority w:val="0"/>
    <w:qFormat/>
    <w:rPr>
      <w:rFonts w:ascii="Times New Roman" w:hAnsi="Times New Roman" w:eastAsia="宋体" w:cs="Times New Roman"/>
      <w:b/>
      <w:bCs/>
      <w:sz w:val="32"/>
      <w:szCs w:val="32"/>
    </w:rPr>
  </w:style>
  <w:style w:type="character" w:styleId="1154" w:customStyle="1">
    <w:name w:val="标题 4 Char"/>
    <w:link w:val="1140"/>
    <w:uiPriority w:val="0"/>
    <w:qFormat/>
    <w:rPr>
      <w:rFonts w:ascii="Arial" w:hAnsi="Arial" w:eastAsia="黑体" w:cs="Arial"/>
      <w:b/>
      <w:bCs/>
      <w:sz w:val="28"/>
      <w:szCs w:val="28"/>
    </w:rPr>
  </w:style>
  <w:style w:type="character" w:styleId="1155" w:customStyle="1">
    <w:name w:val="标题 5 Char"/>
    <w:link w:val="1141"/>
    <w:uiPriority w:val="0"/>
    <w:qFormat/>
    <w:rPr>
      <w:rFonts w:ascii="宋体" w:hAnsi="Times New Roman" w:eastAsia="宋体" w:cs="Times New Roman"/>
      <w:color w:val="000000"/>
      <w:sz w:val="28"/>
      <w:szCs w:val="28"/>
    </w:rPr>
  </w:style>
  <w:style w:type="character" w:styleId="1156" w:customStyle="1">
    <w:name w:val="标题 6 Char"/>
    <w:link w:val="1142"/>
    <w:uiPriority w:val="0"/>
    <w:qFormat/>
    <w:rPr>
      <w:rFonts w:ascii="Arial" w:hAnsi="Arial" w:eastAsia="黑体" w:cs="Times New Roman"/>
      <w:b/>
      <w:bCs/>
      <w:sz w:val="24"/>
      <w:szCs w:val="24"/>
    </w:rPr>
  </w:style>
  <w:style w:type="character" w:styleId="1157" w:customStyle="1">
    <w:name w:val="标题 7 Char"/>
    <w:link w:val="1143"/>
    <w:uiPriority w:val="0"/>
    <w:qFormat/>
    <w:rPr>
      <w:rFonts w:ascii="Times New Roman" w:hAnsi="Times New Roman" w:eastAsia="宋体" w:cs="Times New Roman"/>
      <w:b/>
      <w:bCs/>
      <w:sz w:val="24"/>
      <w:szCs w:val="24"/>
    </w:rPr>
  </w:style>
  <w:style w:type="character" w:styleId="1158" w:customStyle="1">
    <w:name w:val="标题 8 Char"/>
    <w:link w:val="1144"/>
    <w:uiPriority w:val="0"/>
    <w:qFormat/>
    <w:rPr>
      <w:rFonts w:ascii="Arial" w:hAnsi="Arial" w:eastAsia="黑体" w:cs="Times New Roman"/>
      <w:sz w:val="24"/>
      <w:szCs w:val="24"/>
    </w:rPr>
  </w:style>
  <w:style w:type="character" w:styleId="1159" w:customStyle="1">
    <w:name w:val="标题 9 Char"/>
    <w:link w:val="1145"/>
    <w:uiPriority w:val="0"/>
    <w:qFormat/>
    <w:rPr>
      <w:rFonts w:ascii="Arial" w:hAnsi="Arial" w:eastAsia="黑体" w:cs="Times New Roman"/>
      <w:szCs w:val="21"/>
    </w:rPr>
  </w:style>
  <w:style w:type="paragraph" w:styleId="1160" w:customStyle="1">
    <w:name w:val="列表 31"/>
    <w:basedOn w:val="942"/>
    <w:uiPriority w:val="0"/>
    <w:qFormat/>
    <w:pPr>
      <w:ind w:left="100" w:hanging="200"/>
    </w:pPr>
    <w:rPr>
      <w:rFonts w:ascii="Times New Roman" w:hAnsi="Times New Roman" w:eastAsia="宋体" w:cs="Times New Roman"/>
      <w:szCs w:val="21"/>
    </w:rPr>
  </w:style>
  <w:style w:type="paragraph" w:styleId="1161" w:customStyle="1">
    <w:name w:val="目录 71"/>
    <w:basedOn w:val="942"/>
    <w:next w:val="942"/>
    <w:uiPriority w:val="0"/>
    <w:semiHidden/>
    <w:qFormat/>
    <w:pPr>
      <w:ind w:left="1260"/>
      <w:jc w:val="left"/>
    </w:pPr>
    <w:rPr>
      <w:rFonts w:ascii="Times New Roman" w:hAnsi="Times New Roman" w:eastAsia="宋体" w:cs="Times New Roman"/>
      <w:szCs w:val="21"/>
    </w:rPr>
  </w:style>
  <w:style w:type="paragraph" w:styleId="1162" w:customStyle="1">
    <w:name w:val="文档结构图1"/>
    <w:basedOn w:val="942"/>
    <w:link w:val="1163"/>
    <w:uiPriority w:val="0"/>
    <w:semiHidden/>
    <w:qFormat/>
    <w:pPr>
      <w:shd w:val="clear" w:color="auto" w:fill="000080"/>
    </w:pPr>
    <w:rPr>
      <w:rFonts w:ascii="Times New Roman" w:hAnsi="Times New Roman" w:eastAsia="宋体" w:cs="Times New Roman"/>
      <w:szCs w:val="21"/>
    </w:rPr>
  </w:style>
  <w:style w:type="character" w:styleId="1163" w:customStyle="1">
    <w:name w:val="文档结构图 Char"/>
    <w:link w:val="1162"/>
    <w:uiPriority w:val="0"/>
    <w:semiHidden/>
    <w:qFormat/>
    <w:rPr>
      <w:rFonts w:ascii="Times New Roman" w:hAnsi="Times New Roman" w:eastAsia="宋体" w:cs="Times New Roman"/>
      <w:szCs w:val="21"/>
      <w:shd w:val="clear" w:color="auto" w:fill="000080"/>
    </w:rPr>
  </w:style>
  <w:style w:type="paragraph" w:styleId="1164" w:customStyle="1">
    <w:name w:val="批注文字1"/>
    <w:basedOn w:val="942"/>
    <w:link w:val="1165"/>
    <w:uiPriority w:val="0"/>
    <w:unhideWhenUsed/>
    <w:qFormat/>
    <w:pPr>
      <w:jc w:val="left"/>
    </w:pPr>
  </w:style>
  <w:style w:type="character" w:styleId="1165" w:customStyle="1">
    <w:name w:val="批注文字 Char"/>
    <w:basedOn w:val="1146"/>
    <w:link w:val="1164"/>
    <w:uiPriority w:val="99"/>
    <w:semiHidden/>
    <w:qFormat/>
  </w:style>
  <w:style w:type="paragraph" w:styleId="1166" w:customStyle="1">
    <w:name w:val="正文文本 31"/>
    <w:basedOn w:val="942"/>
    <w:link w:val="1167"/>
    <w:uiPriority w:val="0"/>
    <w:qFormat/>
    <w:rPr>
      <w:rFonts w:ascii="仿宋_GB2312" w:hAnsi="Arial" w:eastAsia="仿宋_GB2312" w:cs="Times New Roman"/>
      <w:sz w:val="32"/>
      <w:szCs w:val="32"/>
    </w:rPr>
  </w:style>
  <w:style w:type="character" w:styleId="1167" w:customStyle="1">
    <w:name w:val="正文文本 3 Char"/>
    <w:link w:val="1166"/>
    <w:uiPriority w:val="0"/>
    <w:qFormat/>
    <w:rPr>
      <w:rFonts w:ascii="仿宋_GB2312" w:hAnsi="Arial" w:eastAsia="仿宋_GB2312" w:cs="Times New Roman"/>
      <w:sz w:val="32"/>
      <w:szCs w:val="32"/>
    </w:rPr>
  </w:style>
  <w:style w:type="paragraph" w:styleId="1168" w:customStyle="1">
    <w:name w:val="正文文本缩进1"/>
    <w:basedOn w:val="942"/>
    <w:next w:val="1169"/>
    <w:link w:val="1170"/>
    <w:uiPriority w:val="0"/>
    <w:unhideWhenUsed/>
    <w:qFormat/>
    <w:pPr>
      <w:ind w:left="420"/>
      <w:spacing w:after="120"/>
    </w:pPr>
  </w:style>
  <w:style w:type="paragraph" w:styleId="1169" w:customStyle="1">
    <w:name w:val="寄信人地址1"/>
    <w:basedOn w:val="942"/>
    <w:uiPriority w:val="99"/>
    <w:unhideWhenUsed/>
    <w:qFormat/>
    <w:rPr>
      <w:rFonts w:ascii="Arial" w:hAnsi="Arial"/>
    </w:rPr>
  </w:style>
  <w:style w:type="character" w:styleId="1170" w:customStyle="1">
    <w:name w:val="正文文本缩进 Char"/>
    <w:basedOn w:val="1146"/>
    <w:link w:val="1168"/>
    <w:uiPriority w:val="99"/>
    <w:semiHidden/>
    <w:qFormat/>
  </w:style>
  <w:style w:type="paragraph" w:styleId="1171" w:customStyle="1">
    <w:name w:val="列表 21"/>
    <w:basedOn w:val="942"/>
    <w:uiPriority w:val="0"/>
    <w:qFormat/>
    <w:pPr>
      <w:ind w:left="100" w:hanging="200"/>
    </w:pPr>
    <w:rPr>
      <w:rFonts w:ascii="Times New Roman" w:hAnsi="Times New Roman" w:eastAsia="宋体" w:cs="Times New Roman"/>
      <w:szCs w:val="21"/>
    </w:rPr>
  </w:style>
  <w:style w:type="paragraph" w:styleId="1172" w:customStyle="1">
    <w:name w:val="目录 51"/>
    <w:basedOn w:val="942"/>
    <w:next w:val="942"/>
    <w:uiPriority w:val="0"/>
    <w:semiHidden/>
    <w:qFormat/>
    <w:pPr>
      <w:ind w:left="840"/>
      <w:jc w:val="left"/>
    </w:pPr>
    <w:rPr>
      <w:rFonts w:ascii="Times New Roman" w:hAnsi="Times New Roman" w:eastAsia="宋体" w:cs="Times New Roman"/>
      <w:szCs w:val="21"/>
    </w:rPr>
  </w:style>
  <w:style w:type="paragraph" w:styleId="1173" w:customStyle="1">
    <w:name w:val="目录 31"/>
    <w:basedOn w:val="942"/>
    <w:next w:val="942"/>
    <w:uiPriority w:val="0"/>
    <w:semiHidden/>
    <w:qFormat/>
    <w:pPr>
      <w:ind w:left="420"/>
      <w:jc w:val="left"/>
    </w:pPr>
    <w:rPr>
      <w:rFonts w:ascii="Times New Roman" w:hAnsi="Times New Roman" w:eastAsia="宋体" w:cs="Times New Roman"/>
      <w:i/>
      <w:iCs/>
      <w:szCs w:val="24"/>
    </w:rPr>
  </w:style>
  <w:style w:type="paragraph" w:styleId="1174" w:customStyle="1">
    <w:name w:val="纯文本1"/>
    <w:basedOn w:val="942"/>
    <w:link w:val="1175"/>
    <w:uiPriority w:val="0"/>
    <w:qFormat/>
    <w:rPr>
      <w:rFonts w:ascii="宋体" w:hAnsi="Courier New" w:eastAsia="宋体" w:cs="Courier New"/>
      <w:szCs w:val="21"/>
    </w:rPr>
  </w:style>
  <w:style w:type="character" w:styleId="1175" w:customStyle="1">
    <w:name w:val="纯文本 Char"/>
    <w:link w:val="1174"/>
    <w:uiPriority w:val="0"/>
    <w:qFormat/>
    <w:rPr>
      <w:rFonts w:ascii="宋体" w:hAnsi="Courier New" w:eastAsia="宋体" w:cs="Courier New"/>
      <w:szCs w:val="21"/>
    </w:rPr>
  </w:style>
  <w:style w:type="paragraph" w:styleId="1176" w:customStyle="1">
    <w:name w:val="目录 81"/>
    <w:basedOn w:val="942"/>
    <w:next w:val="942"/>
    <w:uiPriority w:val="0"/>
    <w:semiHidden/>
    <w:qFormat/>
    <w:pPr>
      <w:ind w:left="1470"/>
      <w:jc w:val="left"/>
    </w:pPr>
    <w:rPr>
      <w:rFonts w:ascii="Times New Roman" w:hAnsi="Times New Roman" w:eastAsia="宋体" w:cs="Times New Roman"/>
      <w:szCs w:val="21"/>
    </w:rPr>
  </w:style>
  <w:style w:type="paragraph" w:styleId="1177" w:customStyle="1">
    <w:name w:val="日期1"/>
    <w:basedOn w:val="942"/>
    <w:next w:val="942"/>
    <w:link w:val="1178"/>
    <w:uiPriority w:val="0"/>
    <w:qFormat/>
    <w:rPr>
      <w:rFonts w:ascii="Times New Roman" w:hAnsi="Times New Roman" w:eastAsia="宋体" w:cs="Times New Roman"/>
      <w:sz w:val="24"/>
      <w:szCs w:val="24"/>
    </w:rPr>
  </w:style>
  <w:style w:type="character" w:styleId="1178" w:customStyle="1">
    <w:name w:val="日期 Char"/>
    <w:link w:val="1177"/>
    <w:uiPriority w:val="0"/>
    <w:qFormat/>
    <w:rPr>
      <w:rFonts w:ascii="Times New Roman" w:hAnsi="Times New Roman" w:eastAsia="宋体" w:cs="Times New Roman"/>
      <w:sz w:val="24"/>
      <w:szCs w:val="24"/>
    </w:rPr>
  </w:style>
  <w:style w:type="paragraph" w:styleId="1179" w:customStyle="1">
    <w:name w:val="正文文本缩进 21"/>
    <w:basedOn w:val="942"/>
    <w:link w:val="1180"/>
    <w:uiPriority w:val="0"/>
    <w:qFormat/>
    <w:pPr>
      <w:ind w:left="630" w:firstLine="645"/>
    </w:pPr>
    <w:rPr>
      <w:rFonts w:ascii="Arial" w:hAnsi="Arial" w:eastAsia="仿宋_GB2312" w:cs="Arial"/>
      <w:sz w:val="32"/>
      <w:szCs w:val="32"/>
    </w:rPr>
  </w:style>
  <w:style w:type="character" w:styleId="1180" w:customStyle="1">
    <w:name w:val="正文文本缩进 2 Char"/>
    <w:link w:val="1179"/>
    <w:uiPriority w:val="0"/>
    <w:qFormat/>
    <w:rPr>
      <w:rFonts w:ascii="Arial" w:hAnsi="Arial" w:eastAsia="仿宋_GB2312" w:cs="Arial"/>
      <w:sz w:val="32"/>
      <w:szCs w:val="32"/>
    </w:rPr>
  </w:style>
  <w:style w:type="paragraph" w:styleId="1181" w:customStyle="1">
    <w:name w:val="批注框文本1"/>
    <w:basedOn w:val="942"/>
    <w:link w:val="1182"/>
    <w:uiPriority w:val="0"/>
    <w:semiHidden/>
    <w:qFormat/>
    <w:rPr>
      <w:rFonts w:ascii="Times New Roman" w:hAnsi="Times New Roman" w:eastAsia="宋体" w:cs="Times New Roman"/>
      <w:sz w:val="18"/>
      <w:szCs w:val="18"/>
    </w:rPr>
  </w:style>
  <w:style w:type="character" w:styleId="1182" w:customStyle="1">
    <w:name w:val="批注框文本 Char"/>
    <w:link w:val="1181"/>
    <w:uiPriority w:val="0"/>
    <w:semiHidden/>
    <w:qFormat/>
    <w:rPr>
      <w:rFonts w:ascii="Times New Roman" w:hAnsi="Times New Roman" w:eastAsia="宋体" w:cs="Times New Roman"/>
      <w:sz w:val="18"/>
      <w:szCs w:val="18"/>
    </w:rPr>
  </w:style>
  <w:style w:type="paragraph" w:styleId="1183" w:customStyle="1">
    <w:name w:val="页脚1"/>
    <w:basedOn w:val="942"/>
    <w:link w:val="118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184" w:customStyle="1">
    <w:name w:val="页脚 Char"/>
    <w:link w:val="1183"/>
    <w:uiPriority w:val="0"/>
    <w:qFormat/>
    <w:rPr>
      <w:rFonts w:ascii="Times New Roman" w:hAnsi="Times New Roman" w:eastAsia="宋体" w:cs="Times New Roman"/>
      <w:sz w:val="18"/>
      <w:szCs w:val="18"/>
    </w:rPr>
  </w:style>
  <w:style w:type="paragraph" w:styleId="1185" w:customStyle="1">
    <w:name w:val="页眉1"/>
    <w:basedOn w:val="942"/>
    <w:link w:val="118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86" w:customStyle="1">
    <w:name w:val="页眉 Char"/>
    <w:link w:val="1185"/>
    <w:uiPriority w:val="0"/>
    <w:qFormat/>
    <w:rPr>
      <w:rFonts w:ascii="Times New Roman" w:hAnsi="Times New Roman" w:eastAsia="宋体" w:cs="Times New Roman"/>
      <w:sz w:val="18"/>
      <w:szCs w:val="18"/>
    </w:rPr>
  </w:style>
  <w:style w:type="paragraph" w:styleId="1187" w:customStyle="1">
    <w:name w:val="目录 41"/>
    <w:basedOn w:val="942"/>
    <w:next w:val="942"/>
    <w:uiPriority w:val="0"/>
    <w:semiHidden/>
    <w:qFormat/>
    <w:pPr>
      <w:ind w:left="630"/>
      <w:jc w:val="left"/>
    </w:pPr>
    <w:rPr>
      <w:rFonts w:ascii="Times New Roman" w:hAnsi="Times New Roman" w:eastAsia="宋体" w:cs="Times New Roman"/>
      <w:szCs w:val="21"/>
    </w:rPr>
  </w:style>
  <w:style w:type="paragraph" w:styleId="1188" w:customStyle="1">
    <w:name w:val="列表1"/>
    <w:basedOn w:val="942"/>
    <w:uiPriority w:val="0"/>
    <w:qFormat/>
    <w:pPr>
      <w:ind w:left="200" w:hanging="200"/>
    </w:pPr>
    <w:rPr>
      <w:rFonts w:ascii="Times New Roman" w:hAnsi="Times New Roman" w:eastAsia="宋体" w:cs="Times New Roman"/>
      <w:szCs w:val="21"/>
    </w:rPr>
  </w:style>
  <w:style w:type="paragraph" w:styleId="1189" w:customStyle="1">
    <w:name w:val="目录 61"/>
    <w:basedOn w:val="942"/>
    <w:next w:val="942"/>
    <w:uiPriority w:val="0"/>
    <w:semiHidden/>
    <w:qFormat/>
    <w:pPr>
      <w:ind w:left="1050"/>
      <w:jc w:val="left"/>
    </w:pPr>
    <w:rPr>
      <w:rFonts w:ascii="Times New Roman" w:hAnsi="Times New Roman" w:eastAsia="宋体" w:cs="Times New Roman"/>
      <w:szCs w:val="21"/>
    </w:rPr>
  </w:style>
  <w:style w:type="paragraph" w:styleId="1190" w:customStyle="1">
    <w:name w:val="正文文本缩进 31"/>
    <w:basedOn w:val="942"/>
    <w:link w:val="1191"/>
    <w:uiPriority w:val="0"/>
    <w:qFormat/>
    <w:pPr>
      <w:ind w:left="645" w:firstLine="645"/>
    </w:pPr>
    <w:rPr>
      <w:rFonts w:ascii="Arial" w:hAnsi="Arial" w:eastAsia="仿宋_GB2312" w:cs="Arial"/>
      <w:color w:val="ffff00"/>
      <w:sz w:val="32"/>
      <w:szCs w:val="32"/>
    </w:rPr>
  </w:style>
  <w:style w:type="character" w:styleId="1191" w:customStyle="1">
    <w:name w:val="正文文本缩进 3 Char"/>
    <w:link w:val="1190"/>
    <w:uiPriority w:val="0"/>
    <w:qFormat/>
    <w:rPr>
      <w:rFonts w:ascii="Arial" w:hAnsi="Arial" w:eastAsia="仿宋_GB2312" w:cs="Arial"/>
      <w:color w:val="ffff00"/>
      <w:sz w:val="32"/>
      <w:szCs w:val="32"/>
    </w:rPr>
  </w:style>
  <w:style w:type="paragraph" w:styleId="1192" w:customStyle="1">
    <w:name w:val="图表目录1"/>
    <w:basedOn w:val="942"/>
    <w:next w:val="942"/>
    <w:uiPriority w:val="0"/>
    <w:semiHidden/>
    <w:qFormat/>
    <w:pPr>
      <w:ind w:left="840" w:hanging="420"/>
    </w:pPr>
    <w:rPr>
      <w:rFonts w:ascii="Times New Roman" w:hAnsi="Times New Roman" w:eastAsia="宋体" w:cs="Times New Roman"/>
      <w:szCs w:val="21"/>
    </w:rPr>
  </w:style>
  <w:style w:type="paragraph" w:styleId="1193" w:customStyle="1">
    <w:name w:val="目录 21"/>
    <w:basedOn w:val="942"/>
    <w:next w:val="942"/>
    <w:uiPriority w:val="0"/>
    <w:semiHidden/>
    <w:qFormat/>
    <w:pPr>
      <w:ind w:left="210"/>
      <w:jc w:val="left"/>
    </w:pPr>
    <w:rPr>
      <w:rFonts w:ascii="Times New Roman" w:hAnsi="Times New Roman" w:eastAsia="宋体" w:cs="Times New Roman"/>
      <w:smallCaps/>
      <w:szCs w:val="24"/>
    </w:rPr>
  </w:style>
  <w:style w:type="paragraph" w:styleId="1194" w:customStyle="1">
    <w:name w:val="目录 91"/>
    <w:basedOn w:val="942"/>
    <w:next w:val="942"/>
    <w:uiPriority w:val="0"/>
    <w:semiHidden/>
    <w:qFormat/>
    <w:pPr>
      <w:ind w:left="1680"/>
      <w:jc w:val="left"/>
    </w:pPr>
    <w:rPr>
      <w:rFonts w:ascii="Times New Roman" w:hAnsi="Times New Roman" w:eastAsia="宋体" w:cs="Times New Roman"/>
      <w:szCs w:val="21"/>
    </w:rPr>
  </w:style>
  <w:style w:type="paragraph" w:styleId="1195" w:customStyle="1">
    <w:name w:val="正文文本 21"/>
    <w:basedOn w:val="942"/>
    <w:link w:val="1196"/>
    <w:uiPriority w:val="0"/>
    <w:qFormat/>
    <w:pPr>
      <w:jc w:val="center"/>
      <w:widowControl/>
    </w:pPr>
    <w:rPr>
      <w:rFonts w:ascii="楷体_GB2312" w:hAnsi="Times New Roman" w:eastAsia="楷体_GB2312" w:cs="Times New Roman"/>
      <w:sz w:val="28"/>
      <w:szCs w:val="28"/>
    </w:rPr>
  </w:style>
  <w:style w:type="character" w:styleId="1196" w:customStyle="1">
    <w:name w:val="正文文本 2 Char"/>
    <w:link w:val="1195"/>
    <w:uiPriority w:val="0"/>
    <w:qFormat/>
    <w:rPr>
      <w:rFonts w:ascii="楷体_GB2312" w:hAnsi="Times New Roman" w:eastAsia="楷体_GB2312" w:cs="Times New Roman"/>
      <w:sz w:val="28"/>
      <w:szCs w:val="28"/>
    </w:rPr>
  </w:style>
  <w:style w:type="paragraph" w:styleId="1197" w:customStyle="1">
    <w:name w:val="普通(网站)1"/>
    <w:basedOn w:val="942"/>
    <w:uiPriority w:val="99"/>
    <w:qFormat/>
    <w:pPr>
      <w:jc w:val="left"/>
      <w:spacing w:before="100" w:beforeAutospacing="1" w:after="100" w:afterAutospacing="1"/>
      <w:widowControl/>
    </w:pPr>
    <w:rPr>
      <w:rFonts w:ascii="宋体" w:hAnsi="宋体" w:eastAsia="宋体" w:cs="宋体"/>
      <w:sz w:val="24"/>
      <w:szCs w:val="24"/>
    </w:rPr>
  </w:style>
  <w:style w:type="paragraph" w:styleId="1198" w:customStyle="1">
    <w:name w:val="索引 11"/>
    <w:basedOn w:val="942"/>
    <w:next w:val="942"/>
    <w:uiPriority w:val="0"/>
    <w:semiHidden/>
    <w:qFormat/>
    <w:pPr>
      <w:spacing w:line="240" w:lineRule="atLeast"/>
    </w:pPr>
    <w:rPr>
      <w:rFonts w:ascii="Times New Roman" w:hAnsi="Times New Roman" w:eastAsia="宋体" w:cs="Times New Roman"/>
      <w:b/>
      <w:bCs/>
      <w:szCs w:val="21"/>
    </w:rPr>
  </w:style>
  <w:style w:type="paragraph" w:styleId="1199" w:customStyle="1">
    <w:name w:val="批注主题1"/>
    <w:basedOn w:val="1164"/>
    <w:next w:val="1164"/>
    <w:link w:val="1200"/>
    <w:uiPriority w:val="0"/>
    <w:semiHidden/>
    <w:qFormat/>
    <w:rPr>
      <w:rFonts w:ascii="Times New Roman" w:hAnsi="Times New Roman" w:eastAsia="宋体" w:cs="Times New Roman"/>
      <w:b/>
      <w:bCs/>
      <w:szCs w:val="21"/>
    </w:rPr>
  </w:style>
  <w:style w:type="character" w:styleId="1200" w:customStyle="1">
    <w:name w:val="批注主题 Char"/>
    <w:link w:val="1199"/>
    <w:uiPriority w:val="0"/>
    <w:semiHidden/>
    <w:qFormat/>
    <w:rPr>
      <w:rFonts w:ascii="Times New Roman" w:hAnsi="Times New Roman" w:eastAsia="宋体" w:cs="Times New Roman"/>
      <w:b/>
      <w:bCs/>
      <w:szCs w:val="21"/>
    </w:rPr>
  </w:style>
  <w:style w:type="paragraph" w:styleId="1201" w:customStyle="1">
    <w:name w:val="正文首行缩进1"/>
    <w:basedOn w:val="942"/>
    <w:link w:val="1202"/>
    <w:uiPriority w:val="0"/>
    <w:qFormat/>
    <w:pPr>
      <w:ind w:firstLine="200"/>
      <w:spacing w:line="360" w:lineRule="auto"/>
    </w:pPr>
    <w:rPr>
      <w:rFonts w:ascii="仿宋_GB2312" w:hAnsi="Times New Roman" w:eastAsia="仿宋_GB2312" w:cs="Times New Roman"/>
      <w:sz w:val="30"/>
      <w:szCs w:val="30"/>
    </w:rPr>
  </w:style>
  <w:style w:type="character" w:styleId="1202" w:customStyle="1">
    <w:name w:val="正文首行缩进 Char"/>
    <w:link w:val="1201"/>
    <w:uiPriority w:val="0"/>
    <w:qFormat/>
    <w:rPr>
      <w:rFonts w:ascii="仿宋_GB2312" w:hAnsi="Times New Roman" w:eastAsia="仿宋_GB2312" w:cs="Times New Roman"/>
      <w:sz w:val="30"/>
      <w:szCs w:val="30"/>
    </w:rPr>
  </w:style>
  <w:style w:type="paragraph" w:styleId="1203" w:customStyle="1">
    <w:name w:val="正文首行缩进 21"/>
    <w:basedOn w:val="1168"/>
    <w:link w:val="1204"/>
    <w:uiPriority w:val="0"/>
    <w:qFormat/>
    <w:pPr>
      <w:ind w:left="0" w:firstLine="420"/>
      <w:spacing w:after="0" w:line="360" w:lineRule="auto"/>
    </w:pPr>
    <w:rPr>
      <w:rFonts w:ascii="宋体" w:hAnsi="宋体" w:eastAsia="宋体" w:cs="Times New Roman"/>
      <w:szCs w:val="20"/>
    </w:rPr>
  </w:style>
  <w:style w:type="character" w:styleId="1204" w:customStyle="1">
    <w:name w:val="正文首行缩进 2 Char"/>
    <w:link w:val="1203"/>
    <w:uiPriority w:val="0"/>
    <w:qFormat/>
    <w:rPr>
      <w:rFonts w:ascii="宋体" w:hAnsi="宋体" w:eastAsia="宋体" w:cs="Times New Roman"/>
      <w:szCs w:val="20"/>
    </w:rPr>
  </w:style>
  <w:style w:type="table" w:styleId="1205" w:customStyle="1">
    <w:name w:val="网格型1"/>
    <w:basedOn w:val="1147"/>
    <w:uiPriority w:val="0"/>
    <w:qFormat/>
    <w:pPr>
      <w:jc w:val="both"/>
      <w:widowControl w:val="off"/>
    </w:pPr>
    <w:rPr>
      <w:rFonts w:ascii="Times New Roman" w:hAnsi="Times New Roman" w:eastAsia="宋体" w:cs="Times New Roman"/>
      <w:sz w:val="20"/>
      <w:szCs w:val="20"/>
    </w:rPr>
    <w:tblPr/>
  </w:style>
  <w:style w:type="character" w:styleId="1206" w:customStyle="1">
    <w:name w:val="要点1"/>
    <w:link w:val="942"/>
    <w:uiPriority w:val="0"/>
    <w:qFormat/>
    <w:rPr>
      <w:b/>
      <w:bCs/>
    </w:rPr>
  </w:style>
  <w:style w:type="character" w:styleId="1207" w:customStyle="1">
    <w:name w:val="页码1"/>
    <w:link w:val="942"/>
    <w:uiPriority w:val="0"/>
    <w:qFormat/>
  </w:style>
  <w:style w:type="character" w:styleId="1208" w:customStyle="1">
    <w:name w:val="已访问的超链接1"/>
    <w:link w:val="942"/>
    <w:uiPriority w:val="0"/>
    <w:qFormat/>
    <w:rPr>
      <w:color w:val="800080"/>
      <w:u w:val="single"/>
    </w:rPr>
  </w:style>
  <w:style w:type="character" w:styleId="1209" w:customStyle="1">
    <w:name w:val="超链接1"/>
    <w:link w:val="942"/>
    <w:uiPriority w:val="0"/>
    <w:qFormat/>
    <w:rPr>
      <w:color w:val="0000ff"/>
      <w:u w:val="single"/>
    </w:rPr>
  </w:style>
  <w:style w:type="character" w:styleId="1210" w:customStyle="1">
    <w:name w:val="批注引用1"/>
    <w:link w:val="942"/>
    <w:uiPriority w:val="0"/>
    <w:semiHidden/>
    <w:qFormat/>
    <w:rPr>
      <w:sz w:val="21"/>
      <w:szCs w:val="21"/>
    </w:rPr>
  </w:style>
  <w:style w:type="character" w:styleId="1211" w:customStyle="1">
    <w:name w:val="font5 Char"/>
    <w:link w:val="942"/>
    <w:uiPriority w:val="0"/>
    <w:qFormat/>
    <w:rPr>
      <w:rFonts w:ascii="宋体" w:hAnsi="宋体" w:eastAsia="宋体"/>
      <w:sz w:val="28"/>
      <w:szCs w:val="28"/>
      <w:lang w:val="en-US" w:eastAsia="zh-CN" w:bidi="ar-SA"/>
    </w:rPr>
  </w:style>
  <w:style w:type="character" w:styleId="1212" w:customStyle="1">
    <w:name w:val="二级目录 Char"/>
    <w:link w:val="1213"/>
    <w:uiPriority w:val="0"/>
    <w:qFormat/>
    <w:rPr>
      <w:b/>
      <w:sz w:val="30"/>
      <w:szCs w:val="28"/>
    </w:rPr>
  </w:style>
  <w:style w:type="paragraph" w:styleId="1213" w:customStyle="1">
    <w:name w:val="二级目录"/>
    <w:next w:val="942"/>
    <w:link w:val="121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14" w:customStyle="1">
    <w:name w:val="列出段落 Char"/>
    <w:link w:val="1215"/>
    <w:uiPriority w:val="0"/>
    <w:qFormat/>
    <w:rPr>
      <w:rFonts w:ascii="Calibri" w:hAnsi="Calibri"/>
      <w:sz w:val="24"/>
      <w:szCs w:val="24"/>
      <w:lang w:eastAsia="en-US" w:bidi="en-US"/>
    </w:rPr>
  </w:style>
  <w:style w:type="paragraph" w:styleId="1215" w:customStyle="1">
    <w:name w:val="列出段落1"/>
    <w:basedOn w:val="942"/>
    <w:link w:val="1214"/>
    <w:uiPriority w:val="0"/>
    <w:qFormat/>
    <w:pPr>
      <w:contextualSpacing/>
      <w:ind w:left="720"/>
      <w:jc w:val="left"/>
      <w:widowControl/>
    </w:pPr>
    <w:rPr>
      <w:rFonts w:ascii="Calibri" w:hAnsi="Calibri"/>
      <w:sz w:val="24"/>
      <w:szCs w:val="24"/>
      <w:lang w:eastAsia="en-US" w:bidi="en-US"/>
    </w:rPr>
  </w:style>
  <w:style w:type="paragraph" w:styleId="1216" w:customStyle="1">
    <w:name w:val="Body Text(ch)"/>
    <w:basedOn w:val="942"/>
    <w:next w:val="1148"/>
    <w:uiPriority w:val="0"/>
    <w:qFormat/>
    <w:pPr>
      <w:spacing w:after="120"/>
    </w:pPr>
    <w:rPr>
      <w:rFonts w:ascii="宋体" w:hAnsi="Arial" w:eastAsia="宋体" w:cs="Times New Roman"/>
      <w:bCs/>
      <w:iCs/>
      <w:szCs w:val="24"/>
    </w:rPr>
  </w:style>
  <w:style w:type="paragraph" w:styleId="1217" w:customStyle="1">
    <w:name w:val="xl27"/>
    <w:basedOn w:val="9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18" w:customStyle="1">
    <w:name w:val="xl26"/>
    <w:basedOn w:val="9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19" w:customStyle="1">
    <w:name w:val="Char"/>
    <w:basedOn w:val="942"/>
    <w:uiPriority w:val="0"/>
    <w:qFormat/>
    <w:pPr>
      <w:ind w:firstLine="200"/>
      <w:tabs>
        <w:tab w:val="left" w:pos="360" w:leader="none"/>
      </w:tabs>
    </w:pPr>
    <w:rPr>
      <w:rFonts w:ascii="Times New Roman" w:hAnsi="Times New Roman" w:eastAsia="宋体" w:cs="Times New Roman"/>
      <w:sz w:val="28"/>
      <w:szCs w:val="30"/>
    </w:rPr>
  </w:style>
  <w:style w:type="paragraph" w:styleId="1220" w:customStyle="1">
    <w:name w:val=" Char"/>
    <w:basedOn w:val="1162"/>
    <w:uiPriority w:val="0"/>
    <w:qFormat/>
    <w:rPr>
      <w:rFonts w:ascii="Tahoma" w:hAnsi="Tahoma"/>
      <w:sz w:val="24"/>
      <w:szCs w:val="24"/>
    </w:rPr>
  </w:style>
  <w:style w:type="paragraph" w:styleId="1221" w:customStyle="1">
    <w:name w:val="普通正文"/>
    <w:basedOn w:val="942"/>
    <w:uiPriority w:val="0"/>
    <w:qFormat/>
    <w:pPr>
      <w:ind w:firstLine="480"/>
      <w:jc w:val="left"/>
      <w:spacing w:before="120" w:after="120" w:line="360" w:lineRule="auto"/>
    </w:pPr>
    <w:rPr>
      <w:rFonts w:ascii="Arial" w:hAnsi="Arial" w:eastAsia="宋体" w:cs="Times New Roman"/>
      <w:sz w:val="24"/>
      <w:szCs w:val="24"/>
    </w:rPr>
  </w:style>
  <w:style w:type="paragraph" w:styleId="1222" w:customStyle="1">
    <w:name w:val="table_lines"/>
    <w:basedOn w:val="942"/>
    <w:uiPriority w:val="0"/>
    <w:qFormat/>
    <w:pPr>
      <w:jc w:val="left"/>
      <w:widowControl/>
    </w:pPr>
    <w:rPr>
      <w:rFonts w:ascii="Times New Roman" w:hAnsi="Times New Roman" w:eastAsia="宋体" w:cs="Times New Roman"/>
      <w:sz w:val="20"/>
      <w:szCs w:val="20"/>
      <w:lang w:val="de-DE" w:eastAsia="de-DE"/>
    </w:rPr>
  </w:style>
  <w:style w:type="paragraph" w:styleId="122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24" w:customStyle="1">
    <w:name w:val="font7"/>
    <w:basedOn w:val="94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25" w:customStyle="1">
    <w:name w:val=" Char Char Char Char"/>
    <w:basedOn w:val="1162"/>
    <w:uiPriority w:val="0"/>
    <w:qFormat/>
    <w:pPr>
      <w:spacing w:line="360" w:lineRule="auto"/>
    </w:pPr>
    <w:rPr>
      <w:rFonts w:ascii="Tahoma" w:hAnsi="Tahoma"/>
      <w:sz w:val="24"/>
      <w:szCs w:val="24"/>
    </w:rPr>
  </w:style>
  <w:style w:type="paragraph" w:styleId="1226" w:customStyle="1">
    <w:name w:val="列出段落"/>
    <w:basedOn w:val="942"/>
    <w:uiPriority w:val="0"/>
    <w:qFormat/>
    <w:pPr>
      <w:contextualSpacing/>
      <w:ind w:left="720"/>
      <w:jc w:val="left"/>
      <w:widowControl/>
    </w:pPr>
    <w:rPr>
      <w:rFonts w:ascii="Calibri" w:hAnsi="Calibri" w:eastAsia="宋体" w:cs="Times New Roman"/>
      <w:sz w:val="24"/>
      <w:szCs w:val="24"/>
      <w:lang w:eastAsia="en-US" w:bidi="en-US"/>
    </w:rPr>
  </w:style>
  <w:style w:type="paragraph" w:styleId="1227" w:customStyle="1">
    <w:name w:val="4"/>
    <w:basedOn w:val="942"/>
    <w:next w:val="1190"/>
    <w:uiPriority w:val="0"/>
    <w:qFormat/>
    <w:pPr>
      <w:ind w:firstLine="420"/>
      <w:spacing w:line="360" w:lineRule="auto"/>
    </w:pPr>
    <w:rPr>
      <w:rFonts w:ascii="Times New Roman" w:hAnsi="Times New Roman" w:eastAsia="宋体" w:cs="Times New Roman"/>
      <w:color w:val="ff0000"/>
      <w:sz w:val="24"/>
      <w:szCs w:val="24"/>
    </w:rPr>
  </w:style>
  <w:style w:type="paragraph" w:styleId="1228" w:customStyle="1">
    <w:name w:val="普通 (Web)"/>
    <w:basedOn w:val="942"/>
    <w:uiPriority w:val="0"/>
    <w:qFormat/>
    <w:pPr>
      <w:jc w:val="left"/>
      <w:spacing w:before="100" w:beforeAutospacing="1" w:after="100" w:afterAutospacing="1"/>
      <w:widowControl/>
    </w:pPr>
    <w:rPr>
      <w:rFonts w:ascii="宋体" w:hAnsi="宋体" w:eastAsia="宋体" w:cs="Times New Roman"/>
      <w:sz w:val="24"/>
      <w:szCs w:val="24"/>
    </w:rPr>
  </w:style>
  <w:style w:type="paragraph" w:styleId="1229" w:customStyle="1">
    <w:name w:val=" Char Char Char Char Char Char Char Char Char Char"/>
    <w:basedOn w:val="942"/>
    <w:uiPriority w:val="0"/>
    <w:qFormat/>
    <w:pPr>
      <w:spacing w:line="360" w:lineRule="auto"/>
    </w:pPr>
    <w:rPr>
      <w:rFonts w:ascii="Times New Roman" w:hAnsi="Times New Roman" w:eastAsia="宋体" w:cs="Times New Roman"/>
      <w:sz w:val="24"/>
      <w:szCs w:val="20"/>
    </w:rPr>
  </w:style>
  <w:style w:type="paragraph" w:styleId="1230" w:customStyle="1">
    <w:name w:val="样式1"/>
    <w:basedOn w:val="942"/>
    <w:uiPriority w:val="0"/>
    <w:qFormat/>
    <w:pPr>
      <w:numPr>
        <w:ilvl w:val="0"/>
        <w:numId w:val="3"/>
      </w:numPr>
    </w:pPr>
    <w:rPr>
      <w:rFonts w:ascii="宋体" w:hAnsi="宋体" w:eastAsia="宋体" w:cs="Times New Roman"/>
      <w:szCs w:val="21"/>
    </w:rPr>
  </w:style>
  <w:style w:type="paragraph" w:styleId="1231" w:customStyle="1">
    <w:name w:val="font6"/>
    <w:basedOn w:val="94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32" w:customStyle="1">
    <w:name w:val="xl25"/>
    <w:basedOn w:val="9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3" w:customStyle="1">
    <w:name w:val="图标"/>
    <w:basedOn w:val="942"/>
    <w:next w:val="94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34" w:customStyle="1">
    <w:name w:val="标题3"/>
    <w:basedOn w:val="942"/>
    <w:next w:val="942"/>
    <w:uiPriority w:val="0"/>
    <w:qFormat/>
    <w:pPr>
      <w:ind w:firstLine="624"/>
      <w:spacing w:line="590" w:lineRule="atLeast"/>
    </w:pPr>
    <w:rPr>
      <w:rFonts w:ascii="方正黑体_GBK" w:hAnsi="Times New Roman" w:eastAsia="方正黑体_GBK" w:cs="Times New Roman"/>
      <w:sz w:val="32"/>
      <w:szCs w:val="32"/>
    </w:rPr>
  </w:style>
  <w:style w:type="paragraph" w:styleId="1235" w:customStyle="1">
    <w:name w:val="xl24"/>
    <w:basedOn w:val="9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36" w:customStyle="1">
    <w:name w:val="xl29"/>
    <w:basedOn w:val="94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37" w:customStyle="1">
    <w:name w:val="Char Char Char Char Char Char Char Char"/>
    <w:basedOn w:val="942"/>
    <w:uiPriority w:val="0"/>
    <w:qFormat/>
    <w:pPr>
      <w:jc w:val="left"/>
      <w:spacing w:after="160" w:line="240" w:lineRule="exact"/>
      <w:widowControl/>
    </w:pPr>
    <w:rPr>
      <w:rFonts w:ascii="Verdana" w:hAnsi="Verdana" w:eastAsia="宋体" w:cs="Times New Roman"/>
      <w:sz w:val="20"/>
      <w:szCs w:val="20"/>
      <w:lang w:eastAsia="en-US"/>
    </w:rPr>
  </w:style>
  <w:style w:type="paragraph" w:styleId="1238" w:customStyle="1">
    <w:name w:val="xl28"/>
    <w:basedOn w:val="9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39" w:customStyle="1">
    <w:name w:val=" Char Char Char Char Char Char Char Char"/>
    <w:basedOn w:val="942"/>
    <w:uiPriority w:val="0"/>
    <w:qFormat/>
    <w:pPr>
      <w:jc w:val="left"/>
      <w:spacing w:after="160" w:line="240" w:lineRule="exact"/>
      <w:widowControl/>
    </w:pPr>
    <w:rPr>
      <w:rFonts w:ascii="Verdana" w:hAnsi="Verdana" w:eastAsia="宋体" w:cs="Times New Roman"/>
      <w:sz w:val="20"/>
      <w:szCs w:val="20"/>
      <w:lang w:eastAsia="en-US"/>
    </w:rPr>
  </w:style>
  <w:style w:type="paragraph" w:styleId="1240" w:customStyle="1">
    <w:name w:val="xl30"/>
    <w:basedOn w:val="94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41" w:customStyle="1">
    <w:name w:val="Char Char Char Char"/>
    <w:basedOn w:val="1162"/>
    <w:uiPriority w:val="0"/>
    <w:qFormat/>
    <w:pPr>
      <w:spacing w:line="360" w:lineRule="auto"/>
    </w:pPr>
    <w:rPr>
      <w:rFonts w:ascii="Tahoma" w:hAnsi="Tahoma"/>
      <w:sz w:val="24"/>
      <w:szCs w:val="24"/>
    </w:rPr>
  </w:style>
  <w:style w:type="paragraph" w:styleId="1242" w:customStyle="1">
    <w:name w:val="table_1stline"/>
    <w:basedOn w:val="942"/>
    <w:uiPriority w:val="0"/>
    <w:qFormat/>
    <w:pPr>
      <w:jc w:val="left"/>
      <w:spacing w:before="120"/>
      <w:widowControl/>
    </w:pPr>
    <w:rPr>
      <w:rFonts w:ascii="Times New Roman" w:hAnsi="Times New Roman" w:eastAsia="宋体" w:cs="Times New Roman"/>
      <w:bCs/>
      <w:sz w:val="20"/>
      <w:szCs w:val="20"/>
      <w:lang w:val="de-DE" w:eastAsia="de-DE"/>
    </w:rPr>
  </w:style>
  <w:style w:type="paragraph" w:styleId="1243" w:customStyle="1">
    <w:name w:val="font5"/>
    <w:basedOn w:val="94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44" w:customStyle="1">
    <w:name w:val="标题1"/>
    <w:basedOn w:val="942"/>
    <w:next w:val="94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4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4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47" w:customStyle="1">
    <w:name w:val="正文文本1"/>
    <w:basedOn w:val="942"/>
    <w:next w:val="942"/>
    <w:uiPriority w:val="0"/>
    <w:qFormat/>
    <w:rPr>
      <w:rFonts w:ascii="仿宋_GB2312" w:eastAsia="仿宋_GB2312"/>
      <w:sz w:val="24"/>
      <w:szCs w:val="20"/>
    </w:rPr>
  </w:style>
  <w:style w:type="paragraph" w:styleId="1248" w:customStyle="1">
    <w:name w:val="正文缩进2格"/>
    <w:basedOn w:val="942"/>
    <w:uiPriority w:val="0"/>
    <w:unhideWhenUsed/>
    <w:qFormat/>
    <w:pPr>
      <w:ind w:firstLine="639"/>
      <w:spacing w:line="600" w:lineRule="exact"/>
    </w:pPr>
    <w:rPr>
      <w:rFonts w:hint="eastAsia" w:ascii="仿宋_GB2312" w:hAnsi="宋体" w:eastAsia="仿宋_GB2312"/>
      <w:sz w:val="31"/>
      <w:szCs w:val="24"/>
    </w:rPr>
  </w:style>
  <w:style w:type="character" w:styleId="1249" w:customStyle="1">
    <w:name w:val="Variable"/>
    <w:link w:val="942"/>
    <w:uiPriority w:val="0"/>
    <w:qFormat/>
    <w:rPr>
      <w:i/>
    </w:rPr>
  </w:style>
  <w:style w:type="character" w:styleId="1250" w:customStyle="1">
    <w:name w:val="fontstyle11"/>
    <w:link w:val="942"/>
    <w:uiPriority w:val="0"/>
    <w:qFormat/>
    <w:rPr>
      <w:rFonts w:hint="eastAsia" w:ascii="宋体" w:hAnsi="宋体" w:eastAsia="宋体"/>
      <w:color w:val="000000"/>
      <w:sz w:val="22"/>
      <w:szCs w:val="22"/>
    </w:rPr>
  </w:style>
  <w:style w:type="character" w:styleId="1251" w:customStyle="1">
    <w:name w:val="fontstyle01"/>
    <w:link w:val="942"/>
    <w:uiPriority w:val="0"/>
    <w:qFormat/>
    <w:rPr>
      <w:rFonts w:hint="default" w:ascii="Calibri-Bold" w:hAnsi="Calibri-Bold"/>
      <w:b/>
      <w:bCs/>
      <w:color w:val="000000"/>
      <w:sz w:val="22"/>
      <w:szCs w:val="22"/>
    </w:rPr>
  </w:style>
  <w:style w:type="paragraph" w:styleId="125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54" w:customStyle="1">
    <w:name w:val="active16"/>
    <w:basedOn w:val="952"/>
    <w:uiPriority w:val="0"/>
    <w:qFormat/>
    <w:rPr>
      <w:color w:val="ffffff"/>
      <w:shd w:val="clear" w:color="auto" w:fill="0f5bb9"/>
    </w:rPr>
  </w:style>
  <w:style w:type="character" w:styleId="1255" w:customStyle="1">
    <w:name w:val="15"/>
    <w:basedOn w:val="952"/>
    <w:uiPriority w:val="0"/>
    <w:qFormat/>
    <w:rPr>
      <w:rFonts w:hint="default" w:ascii="Times New Roman" w:hAnsi="Times New Roman" w:cs="Times New Roman"/>
    </w:rPr>
  </w:style>
  <w:style w:type="paragraph" w:styleId="1256" w:customStyle="1">
    <w:name w:val="页脚11"/>
    <w:basedOn w:val="942"/>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57" w:customStyle="1">
    <w:name w:val="NormalCharacter"/>
    <w:link w:val="942"/>
    <w:uiPriority w:val="0"/>
    <w:semiHidden/>
    <w:qFormat/>
    <w:rPr>
      <w:rFonts w:ascii="Times New Roman" w:hAnsi="Times New Roman" w:eastAsia="宋体" w:cs="Times New Roman"/>
      <w:sz w:val="21"/>
      <w:szCs w:val="24"/>
      <w:lang w:val="en-US" w:eastAsia="zh-CN" w:bidi="ar-SA"/>
    </w:rPr>
  </w:style>
  <w:style w:type="character" w:styleId="1258" w:customStyle="1">
    <w:name w:val="active"/>
    <w:basedOn w:val="952"/>
    <w:uiPriority w:val="0"/>
    <w:qFormat/>
    <w:rPr>
      <w:color w:val="0f5bb9"/>
      <w:shd w:val="clear" w:color="auto" w:fill="0f5bb9"/>
    </w:rPr>
  </w:style>
  <w:style w:type="numbering" w:styleId="128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 Id="rId2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俊达的达达</cp:lastModifiedBy>
  <cp:revision>2</cp:revision>
  <dcterms:created xsi:type="dcterms:W3CDTF">2023-03-27T07:28:00Z</dcterms:created>
  <dcterms:modified xsi:type="dcterms:W3CDTF">2026-05-20T07:36:52Z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374FB920E774452FA79956F5CC16C981_13</vt:lpwstr>
  </property>
  <property fmtid="{D5CDD505-2E9C-101B-9397-08002B2CF9AE}" pid="4" name="KSOTemplateDocerSaveRecord">
    <vt:lpwstr>eyJoZGlkIjoiZTVlZjgyMTA5ZWI4MDZkMDU4ZjljYjE1OGRiMTE5ODQiLCJ1c2VySWQiOiIxMDE5Nzk0ODc0In0=</vt:lpwstr>
  </property>
</Properties>
</file>